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2018-09-08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B53351F327FC">
        <w:r w:rsidRPr="00532B9F">
          <w:rPr>
            <w:rFonts w:ascii="Times New Roman" w:eastAsia="MS Mincho" w:hAnsi="Times New Roman"/>
            <w:sz w:val="20"/>
            <w:i/>
            <w:iCs/>
            <w:color w:val="0000FF" w:themeColor="hyperlink"/>
            <w:u w:val="single"/>
          </w:rPr>
          <w:t>48-2426</w:t>
        </w:r>
      </w:fldSimple>
      <w:r>
        <w:rPr>
          <w:rFonts w:ascii="Times New Roman" w:eastAsia="MS Mincho" w:hAnsi="Times New Roman"/>
          <w:sz w:val="20"/>
          <w:i/>
          <w:iCs/>
        </w:rPr>
        <w:t>, i. k. 11311RRISAK001V-730</w:t>
      </w:r>
    </w:p>
    <w:p>
      <w:pPr>
        <w:jc w:val="both"/>
        <w:rPr>
          <w:rFonts w:ascii="Times New Roman" w:hAnsi="Times New Roman"/>
          <w:sz w:val="20"/>
        </w:rPr>
      </w:pPr>
    </w:p>
    <w:p>
      <w:pPr>
        <w:keepLines/>
        <w:widowControl w:val="0"/>
        <w:suppressAutoHyphens/>
        <w:jc w:val="center"/>
        <w:rPr>
          <w:color w:val="000000"/>
          <w:szCs w:val="24"/>
          <w:lang w:eastAsia="lt-LT"/>
        </w:rPr>
      </w:pPr>
      <w:r>
        <w:rPr>
          <w:color w:val="000000"/>
          <w:szCs w:val="24"/>
          <w:lang w:eastAsia="lt-LT"/>
        </w:rPr>
        <w:t>LIETUVOS RESPUBLIKOS RYŠIŲ REGULIAVIMO TARNYBOS DIREKTORIAUS</w:t>
      </w:r>
    </w:p>
    <w:p>
      <w:pPr>
        <w:keepLines/>
        <w:widowControl w:val="0"/>
        <w:suppressAutoHyphens/>
        <w:jc w:val="center"/>
        <w:rPr>
          <w:color w:val="000000"/>
          <w:szCs w:val="24"/>
          <w:lang w:eastAsia="lt-LT"/>
        </w:rPr>
      </w:pPr>
      <w:r>
        <w:rPr>
          <w:color w:val="000000"/>
          <w:szCs w:val="24"/>
          <w:lang w:eastAsia="lt-LT"/>
        </w:rPr>
        <w:t>Į S A K Y M A S</w:t>
      </w:r>
    </w:p>
    <w:p>
      <w:pPr>
        <w:keepLines/>
        <w:widowControl w:val="0"/>
        <w:suppressAutoHyphens/>
        <w:jc w:val="center"/>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DĖL RADIJO RYŠIO PLĖTROS 790–862 MHZ RADIJO DAŽNIŲ JUOSTOJE PLANO PATVIRTINIMO</w:t>
      </w:r>
    </w:p>
    <w:p>
      <w:pPr>
        <w:widowControl w:val="0"/>
        <w:suppressAutoHyphens/>
        <w:jc w:val="center"/>
        <w:rPr>
          <w:color w:val="000000"/>
          <w:szCs w:val="24"/>
          <w:lang w:eastAsia="lt-LT"/>
        </w:rPr>
      </w:pPr>
    </w:p>
    <w:p>
      <w:pPr>
        <w:keepLines/>
        <w:widowControl w:val="0"/>
        <w:suppressAutoHyphens/>
        <w:jc w:val="center"/>
        <w:rPr>
          <w:color w:val="000000"/>
          <w:szCs w:val="24"/>
          <w:lang w:eastAsia="lt-LT"/>
        </w:rPr>
      </w:pPr>
      <w:r>
        <w:rPr>
          <w:color w:val="000000"/>
          <w:szCs w:val="24"/>
          <w:lang w:eastAsia="lt-LT"/>
        </w:rPr>
        <w:t>2013 m. gegužės 6 d. Nr. 1V-730</w:t>
      </w:r>
    </w:p>
    <w:p>
      <w:pPr>
        <w:keepLines/>
        <w:widowControl w:val="0"/>
        <w:suppressAutoHyphens/>
        <w:jc w:val="center"/>
        <w:rPr>
          <w:color w:val="000000"/>
          <w:szCs w:val="24"/>
          <w:lang w:eastAsia="lt-LT"/>
        </w:rPr>
      </w:pPr>
      <w:r>
        <w:rPr>
          <w:color w:val="000000"/>
          <w:szCs w:val="24"/>
          <w:lang w:eastAsia="lt-LT"/>
        </w:rPr>
        <w:t>Vilnius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p>
    <w:p>
      <w:pPr>
        <w:tabs>
          <w:tab w:val="left" w:pos="709"/>
        </w:tabs>
        <w:suppressAutoHyphens/>
        <w:ind w:firstLine="709"/>
        <w:jc w:val="both"/>
        <w:textAlignment w:val="center"/>
        <w:rPr>
          <w:color w:val="000000"/>
          <w:szCs w:val="24"/>
          <w:lang w:eastAsia="lt-LT"/>
        </w:rPr>
      </w:pPr>
      <w:r>
        <w:rPr>
          <w:color w:val="000000"/>
          <w:szCs w:val="24"/>
        </w:rPr>
        <w:t xml:space="preserve">Vadovaudamasis Lietuvos Respublikos elektroninių ryšių įstatymo 48 straipsnio 2 dalimi, Nacionalinės radijo dažnių paskirstymo lentelės ir radijo dažnių naudojimo plano, patvirtintų Lietuvos Respublikos ryšių reguliavimo tarnybos direktoriaus 2016 m. birželio 21 d. įsakymu Nr. 1V-698 „Dėl Nacionalinės radijo dažnių paskirstymo lentelės ir radijo dažnių naudojimo plano patvirtinimo ir kai kurių Lietuvos Respublikos ryšių reguliavimo tarnybos direktoriaus įsakymų pripažinimo netekusiais galios“, 3 punktu, II skyriaus lentelės 264 punktu ir 8 priedu, atsižvelgdamas į Europos pašto ir telekomunikacijų administracijų konferencijos Elektroninių ryšių komiteto 2009 m. spalio 30 d. sprendimą ECC/DEC/(09)03 „Dėl suderintų sąlygų mobiliųjų ar fiksuotųjų ryšių tinklams (MFCN), veikiantiems 790–862 MHz radijo dažnių juostoje“ ir Tarptautinės telekomunikacijų sąjungos rekomendacijas ITU-R M.1457 „Tarptautinės judriojo ryšio sistemos radijo ryšio sąsajų detalios specifikacijos“ </w:t>
      </w:r>
      <w:r>
        <w:t>ir ITU-R M. 2012 „Tarptautinės judriojo ryšio pažangiosios sistemos radijo ryšio sąsajų detalios specifikacijos“</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cc55f0b26511e88f64a5ecc703f89b">
        <w:r w:rsidRPr="00532B9F">
          <w:rPr>
            <w:rFonts w:ascii="Times New Roman" w:eastAsia="MS Mincho" w:hAnsi="Times New Roman"/>
            <w:sz w:val="20"/>
            <w:i/>
            <w:iCs/>
            <w:color w:val="0000FF" w:themeColor="hyperlink"/>
            <w:u w:val="single"/>
          </w:rPr>
          <w:t>1V-836</w:t>
        </w:r>
      </w:fldSimple>
      <w:r>
        <w:rPr>
          <w:rFonts w:ascii="Times New Roman" w:eastAsia="MS Mincho" w:hAnsi="Times New Roman"/>
          <w:sz w:val="20"/>
          <w:i/>
          <w:iCs/>
        </w:rPr>
        <w:t>,
2018-09-06,
paskelbta TAR 2018-09-07, i. k. 2018-14200            </w:t>
      </w:r>
    </w:p>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xml:space="preserve">. T v i r t i n u  Radijo ryšio plėtros 790–862 MHz radijo dažnių juostoje planą (pridedama).</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xml:space="preserve">. N u r o d a u  šį įsakymą paskelbti oficialiame leidinyje „Valstybės žinios“.</w:t>
      </w:r>
    </w:p>
    <w:p>
      <w:pPr>
        <w:widowControl w:val="0"/>
        <w:tabs>
          <w:tab w:val="right" w:pos="9071"/>
        </w:tabs>
        <w:suppressAutoHyphens/>
        <w:rPr>
          <w:caps/>
          <w:color w:val="000000"/>
          <w:szCs w:val="24"/>
          <w:lang w:eastAsia="lt-LT"/>
        </w:rPr>
      </w:pPr>
    </w:p>
    <w:p>
      <w:pPr>
        <w:widowControl w:val="0"/>
        <w:tabs>
          <w:tab w:val="right" w:pos="9071"/>
        </w:tabs>
        <w:suppressAutoHyphens/>
        <w:rPr>
          <w:caps/>
          <w:color w:val="000000"/>
          <w:szCs w:val="24"/>
          <w:lang w:eastAsia="lt-LT"/>
        </w:rPr>
      </w:pPr>
    </w:p>
    <w:p>
      <w:pPr>
        <w:widowControl w:val="0"/>
        <w:tabs>
          <w:tab w:val="right" w:pos="9071"/>
        </w:tabs>
        <w:suppressAutoHyphens/>
        <w:rPr>
          <w:caps/>
          <w:color w:val="000000"/>
          <w:szCs w:val="24"/>
          <w:lang w:eastAsia="lt-LT"/>
        </w:rPr>
      </w:pPr>
    </w:p>
    <w:p>
      <w:pPr>
        <w:widowControl w:val="0"/>
        <w:tabs>
          <w:tab w:val="right" w:pos="9071"/>
        </w:tabs>
        <w:suppressAutoHyphens/>
        <w:rPr>
          <w:color w:val="000000"/>
          <w:szCs w:val="24"/>
          <w:lang w:eastAsia="lt-LT"/>
        </w:rPr>
      </w:pPr>
      <w:r>
        <w:rPr>
          <w:caps/>
          <w:color w:val="000000"/>
          <w:szCs w:val="24"/>
          <w:lang w:eastAsia="lt-LT"/>
        </w:rPr>
        <w:t xml:space="preserve">Direktorius </w:t>
        <w:tab/>
        <w:t>Feliksas Dobrovolskis</w:t>
      </w:r>
    </w:p>
    <w:p>
      <w:pPr>
        <w:keepLines/>
        <w:widowControl w:val="0"/>
        <w:suppressAutoHyphens/>
        <w:sectPr>
          <w:headerReference w:type="even" r:id="rId21"/>
          <w:headerReference w:type="default" r:id="rId22"/>
          <w:footerReference w:type="even" r:id="rId23"/>
          <w:footerReference w:type="default" r:id="rId24"/>
          <w:headerReference w:type="first" r:id="rId25"/>
          <w:footerReference w:type="first" r:id="rId26"/>
          <w:pgSz w:w="11907" w:h="16840" w:code="9"/>
          <w:pgMar w:top="1701" w:right="567" w:bottom="1134" w:left="1701" w:header="709" w:footer="709" w:gutter="0"/>
          <w:cols w:space="708"/>
          <w:titlePg/>
          <w:docGrid w:linePitch="326"/>
        </w:sectPr>
      </w:pPr>
    </w:p>
    <w:p>
      <w:pPr>
        <w:keepLines/>
        <w:widowControl w:val="0"/>
        <w:suppressAutoHyphens/>
        <w:ind w:left="4535"/>
        <w:rPr>
          <w:color w:val="000000"/>
          <w:szCs w:val="24"/>
          <w:lang w:eastAsia="lt-LT"/>
        </w:rPr>
      </w:pPr>
      <w:r>
        <w:rPr>
          <w:color w:val="000000"/>
          <w:szCs w:val="24"/>
          <w:lang w:eastAsia="lt-LT"/>
        </w:rPr>
        <w:t>PATVIRTINTA</w:t>
      </w:r>
    </w:p>
    <w:p>
      <w:pPr>
        <w:keepLines/>
        <w:widowControl w:val="0"/>
        <w:suppressAutoHyphens/>
        <w:ind w:left="4535"/>
        <w:rPr>
          <w:color w:val="000000"/>
          <w:szCs w:val="24"/>
          <w:lang w:eastAsia="lt-LT"/>
        </w:rPr>
      </w:pPr>
      <w:r>
        <w:rPr>
          <w:color w:val="000000"/>
          <w:szCs w:val="24"/>
          <w:lang w:eastAsia="lt-LT"/>
        </w:rPr>
        <w:t>Lietuvos Respublikos ryšių reguliavimo tarnybos direktoriaus 2013 m. gegužės 6 d. įsakymu Nr. 1V-730</w:t>
      </w:r>
    </w:p>
    <w:p>
      <w:pPr>
        <w:widowControl w:val="0"/>
        <w:suppressAutoHyphens/>
        <w:ind w:left="4535"/>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RADIJO RYŠIO PLĖTROS 790–862 MHz RADIJO DAŽNIŲ JUOSTOJE PLANAS</w:t>
      </w:r>
    </w:p>
    <w:p>
      <w:pPr>
        <w:keepLines/>
        <w:widowControl w:val="0"/>
        <w:suppressAutoHyphens/>
        <w:jc w:val="center"/>
        <w:rPr>
          <w:b/>
          <w:bCs/>
          <w:caps/>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SKYRIUS</w:t>
        <w:br/>
        <w:t xml:space="preserve">BENDROSIOS NUOSTATOS </w:t>
      </w:r>
    </w:p>
    <w:p>
      <w:pPr>
        <w:widowControl w:val="0"/>
        <w:suppressAutoHyphens/>
        <w:ind w:firstLine="567"/>
        <w:jc w:val="both"/>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cc55f0b26511e88f64a5ecc703f89b">
        <w:r w:rsidRPr="00532B9F">
          <w:rPr>
            <w:rFonts w:ascii="Times New Roman" w:eastAsia="MS Mincho" w:hAnsi="Times New Roman"/>
            <w:sz w:val="20"/>
            <w:i/>
            <w:iCs/>
            <w:color w:val="0000FF" w:themeColor="hyperlink"/>
            <w:u w:val="single"/>
          </w:rPr>
          <w:t>1V-836</w:t>
        </w:r>
      </w:fldSimple>
      <w:r>
        <w:rPr>
          <w:rFonts w:ascii="Times New Roman" w:eastAsia="MS Mincho" w:hAnsi="Times New Roman"/>
          <w:sz w:val="20"/>
          <w:i/>
          <w:iCs/>
        </w:rPr>
        <w:t>,
2018-09-06,
paskelbta TAR 2018-09-07, i. k. 2018-14200        </w:t>
      </w:r>
    </w:p>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Radijo ryšio plėtros 790–862 MHz radijo dažnių juostoje planas (toliau – Planas) nustato radijo dažnių (kanalų) iš 790–862 MHz radijo dažnių juostos, naudojamų antžeminėse radijo ryšio sistemose, kuriomis galima teikti elektroninių ryšių paslaugas (toliau – Antžeminės sistemos), skyrimo ir elektroninių ryšių paslaugų, teikiamų Antžeminėmis sistemomis, teikimo tvarką, bendrąsias šių radijo dažnių (kanalų) naudojimo sąlygas, minimaliuosius Antžeminių sistemų plėtros reikalavimus.</w:t>
      </w:r>
    </w:p>
    <w:p>
      <w:pPr>
        <w:tabs>
          <w:tab w:val="left" w:pos="709"/>
          <w:tab w:val="left" w:pos="1560"/>
          <w:tab w:val="left" w:pos="1701"/>
        </w:tabs>
        <w:suppressAutoHyphens/>
        <w:ind w:firstLine="567"/>
        <w:jc w:val="both"/>
        <w:textAlignment w:val="center"/>
        <w:rPr>
          <w:color w:val="000000"/>
          <w:szCs w:val="24"/>
          <w:lang w:eastAsia="lt-LT"/>
        </w:rPr>
      </w:pPr>
      <w:r>
        <w:rPr>
          <w:color w:val="000000"/>
          <w:szCs w:val="24"/>
        </w:rPr>
        <w:t>2</w:t>
      </w:r>
      <w:r>
        <w:rPr>
          <w:color w:val="000000"/>
          <w:szCs w:val="24"/>
        </w:rPr>
        <w:t>. Kitas radijo dažnių (kanalų) iš 790–862 MHz radijo dažnių juostos naudojimo sąlygas nustato Lietuvos Respublikos ryšių reguliavimo tarnyba (toliau – Tarnyba) vadovaudamasi Radijo dažnių (kanalų) skyrimo ir naudojimo taisyklėmis, patvirtintomis Tarnybos direktoriaus 2005 m. spalio 6 d. įsakymu Nr. 1V-854 „Dėl Radijo dažnių (kanalų) skyrimo ir naudojimo taisyklių patvirtinimo“ (toliau – Radijo dažnių (kanalų) skyrimo ir naudojimo taisyklės), Nacionaline radijo dažnių paskirstymo lentele ir radijo dažnių naudojimo planu, patvirtintais Tarnybos direktoriaus 2016 m. birželio 21 d. įsakymu Nr. 1V-698 „Dėl Nacionalinės radijo dažnių paskirstymo lentelės ir radijo dažnių naudojimo plano patvirtinimo ir kai kurių Lietuvos Respublikos ryšių reguliavimo tarnybos direktoriaus įsakymų pripažinimo netekusiais galios“, (toliau – Dažnių lentelė)</w:t>
      </w:r>
      <w:r>
        <w:rPr>
          <w:b/>
          <w:color w:val="000000"/>
          <w:szCs w:val="24"/>
        </w:rPr>
        <w:t xml:space="preserve"> </w:t>
      </w:r>
      <w:r>
        <w:rPr>
          <w:color w:val="000000"/>
          <w:szCs w:val="24"/>
        </w:rPr>
        <w:t>ir kitais radijo dažnių (kanalų) skyrimą ir naudojimą reglamentuojančiais teisės aktais.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cc55f0b26511e88f64a5ecc703f89b">
        <w:r w:rsidRPr="00532B9F">
          <w:rPr>
            <w:rFonts w:ascii="Times New Roman" w:eastAsia="MS Mincho" w:hAnsi="Times New Roman"/>
            <w:sz w:val="20"/>
            <w:i/>
            <w:iCs/>
            <w:color w:val="0000FF" w:themeColor="hyperlink"/>
            <w:u w:val="single"/>
          </w:rPr>
          <w:t>1V-836</w:t>
        </w:r>
      </w:fldSimple>
      <w:r>
        <w:rPr>
          <w:rFonts w:ascii="Times New Roman" w:eastAsia="MS Mincho" w:hAnsi="Times New Roman"/>
          <w:sz w:val="20"/>
          <w:i/>
          <w:iCs/>
        </w:rPr>
        <w:t>,
2018-09-06,
paskelbta TAR 2018-09-07, i. k. 2018-14200            </w:t>
      </w:r>
    </w:p>
    <w:p/>
    <w:p>
      <w:pPr>
        <w:tabs>
          <w:tab w:val="left" w:pos="709"/>
          <w:tab w:val="left" w:pos="1418"/>
          <w:tab w:val="left" w:pos="1701"/>
        </w:tabs>
        <w:suppressAutoHyphens/>
        <w:ind w:firstLine="567"/>
        <w:jc w:val="both"/>
        <w:textAlignment w:val="center"/>
        <w:rPr>
          <w:color w:val="000000"/>
          <w:szCs w:val="24"/>
          <w:lang w:eastAsia="lt-LT"/>
        </w:rPr>
      </w:pPr>
      <w:r>
        <w:rPr>
          <w:color w:val="000000"/>
          <w:szCs w:val="24"/>
        </w:rPr>
        <w:t>3</w:t>
      </w:r>
      <w:r>
        <w:rPr>
          <w:color w:val="000000"/>
          <w:szCs w:val="24"/>
        </w:rPr>
        <w:t>. Plane vartojamos sąvokos apibrėžtos Lietuvos Respublikos elektroninių ryšių įstatyme, Lietuvos Respublikos teritorijos administracinių vienetų ir jų ribų įstatyme, Lietuvos Respublikos vietos savivaldos įstatyme ir Dažnių lentelėje.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cc55f0b26511e88f64a5ecc703f89b">
        <w:r w:rsidRPr="00532B9F">
          <w:rPr>
            <w:rFonts w:ascii="Times New Roman" w:eastAsia="MS Mincho" w:hAnsi="Times New Roman"/>
            <w:sz w:val="20"/>
            <w:i/>
            <w:iCs/>
            <w:color w:val="0000FF" w:themeColor="hyperlink"/>
            <w:u w:val="single"/>
          </w:rPr>
          <w:t>1V-836</w:t>
        </w:r>
      </w:fldSimple>
      <w:r>
        <w:rPr>
          <w:rFonts w:ascii="Times New Roman" w:eastAsia="MS Mincho" w:hAnsi="Times New Roman"/>
          <w:sz w:val="20"/>
          <w:i/>
          <w:iCs/>
        </w:rPr>
        <w:t>,
2018-09-06,
paskelbta TAR 2018-09-07, i. k. 2018-14200            </w:t>
      </w:r>
    </w:p>
    <w:p/>
    <w:p>
      <w:pPr>
        <w:keepLines/>
        <w:widowControl w:val="0"/>
        <w:suppressAutoHyphens/>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SKYRIUS</w:t>
        <w:br/>
        <w:t xml:space="preserve">RADIJO DAŽNIŲ (KANALŲ) SKYRIMAS </w:t>
      </w:r>
    </w:p>
    <w:p>
      <w:pPr>
        <w:widowControl w:val="0"/>
        <w:suppressAutoHyphens/>
        <w:ind w:firstLine="567"/>
        <w:jc w:val="both"/>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cc55f0b26511e88f64a5ecc703f89b">
        <w:r w:rsidRPr="00532B9F">
          <w:rPr>
            <w:rFonts w:ascii="Times New Roman" w:eastAsia="MS Mincho" w:hAnsi="Times New Roman"/>
            <w:sz w:val="20"/>
            <w:i/>
            <w:iCs/>
            <w:color w:val="0000FF" w:themeColor="hyperlink"/>
            <w:u w:val="single"/>
          </w:rPr>
          <w:t>1V-836</w:t>
        </w:r>
      </w:fldSimple>
      <w:r>
        <w:rPr>
          <w:rFonts w:ascii="Times New Roman" w:eastAsia="MS Mincho" w:hAnsi="Times New Roman"/>
          <w:sz w:val="20"/>
          <w:i/>
          <w:iCs/>
        </w:rPr>
        <w:t>,
2018-09-06,
paskelbta TAR 2018-09-07, i. k. 2018-14200        </w:t>
      </w:r>
    </w:p>
    <w:p/>
    <w:p>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xml:space="preserve">. Radijo dažniai (kanalai) iš 791–821 MHz ir 832–862 MHz radijo dažnių juostų </w:t>
      </w:r>
      <w:r>
        <w:rPr>
          <w:color w:val="000000"/>
          <w:spacing w:val="-2"/>
          <w:szCs w:val="24"/>
          <w:lang w:eastAsia="lt-LT"/>
        </w:rPr>
        <w:t>skiriami</w:t>
      </w:r>
      <w:r>
        <w:rPr>
          <w:color w:val="000000"/>
          <w:szCs w:val="24"/>
          <w:lang w:eastAsia="lt-LT"/>
        </w:rPr>
        <w:t xml:space="preserve"> naudoti Antžeminėse sistemose visoje Lietuvos Respublikos teritorijoje:</w:t>
      </w:r>
    </w:p>
    <w:p>
      <w:pPr>
        <w:widowControl w:val="0"/>
        <w:suppressAutoHyphens/>
        <w:ind w:firstLine="567"/>
        <w:jc w:val="both"/>
        <w:rPr>
          <w:color w:val="000000"/>
          <w:spacing w:val="-2"/>
          <w:szCs w:val="24"/>
          <w:lang w:eastAsia="lt-LT"/>
        </w:rPr>
      </w:pPr>
      <w:r>
        <w:rPr>
          <w:color w:val="000000"/>
          <w:spacing w:val="-2"/>
          <w:szCs w:val="24"/>
          <w:lang w:eastAsia="lt-LT"/>
        </w:rPr>
        <w:t>4.1</w:t>
      </w:r>
      <w:r>
        <w:rPr>
          <w:color w:val="000000"/>
          <w:spacing w:val="-2"/>
          <w:szCs w:val="24"/>
          <w:lang w:eastAsia="lt-LT"/>
        </w:rPr>
        <w:t xml:space="preserve">. </w:t>
      </w:r>
      <w:r>
        <w:rPr>
          <w:color w:val="000000"/>
          <w:szCs w:val="24"/>
          <w:lang w:eastAsia="lt-LT"/>
        </w:rPr>
        <w:t xml:space="preserve">Radijo dažniai (kanalai) iš 791–801 MHz ir 832–842 MHz suporuotos radijo dažnių juostos </w:t>
      </w:r>
      <w:r>
        <w:rPr>
          <w:color w:val="000000"/>
          <w:spacing w:val="-2"/>
          <w:szCs w:val="24"/>
          <w:lang w:eastAsia="lt-LT"/>
        </w:rPr>
        <w:t>skiriami aukciono būdu</w:t>
      </w:r>
      <w:r>
        <w:rPr>
          <w:color w:val="000000"/>
          <w:szCs w:val="24"/>
          <w:lang w:eastAsia="lt-LT"/>
        </w:rPr>
        <w:t xml:space="preserve"> užtikrinant plačiajuosčio radijo ryšio plėtrą kaimo gyvenamosiose vietovėse, išvengiant radijo dažnių (kanalų) kaupimo (koncentracijos) ir sudarant sąlygas veiksmingai konkurencijai elektroninių ryšių paslaugų, teikiamų Antžeminėmis sistemomis, rinkoje</w:t>
      </w:r>
      <w:r>
        <w:rPr>
          <w:color w:val="000000"/>
          <w:spacing w:val="-2"/>
          <w:szCs w:val="24"/>
          <w:lang w:eastAsia="lt-LT"/>
        </w:rPr>
        <w:t>. Plano 19 punkte yra nustatyti minimalieji Antžeminių sistemų plėtros reikalavimai leidimo naudoti šiuos radijo dažnius (kanalus) turėtojui</w:t>
      </w:r>
      <w:r>
        <w:rPr>
          <w:color w:val="000000"/>
          <w:szCs w:val="24"/>
          <w:lang w:eastAsia="lt-LT"/>
        </w:rPr>
        <w:t>.</w:t>
      </w:r>
    </w:p>
    <w:p>
      <w:pPr>
        <w:widowControl w:val="0"/>
        <w:suppressAutoHyphens/>
        <w:ind w:firstLine="567"/>
        <w:jc w:val="both"/>
        <w:rPr>
          <w:color w:val="000000"/>
          <w:spacing w:val="-2"/>
          <w:szCs w:val="24"/>
          <w:lang w:eastAsia="lt-LT"/>
        </w:rPr>
      </w:pPr>
      <w:r>
        <w:rPr>
          <w:color w:val="000000"/>
          <w:szCs w:val="24"/>
          <w:lang w:eastAsia="lt-LT"/>
        </w:rPr>
        <w:t>4.2</w:t>
      </w:r>
      <w:r>
        <w:rPr>
          <w:color w:val="000000"/>
          <w:szCs w:val="24"/>
          <w:lang w:eastAsia="lt-LT"/>
        </w:rPr>
        <w:t xml:space="preserve">. Radijo dažniai (kanalai) iš 801–806 MHz ir 842–847 MHz, 806–811 MHz ir 847–852 MHz, 811–816 MHz ir 852–857 MHz, 816–821 MHz ir 857–862 MHz suporuotų radijo dažnių juostų </w:t>
      </w:r>
      <w:r>
        <w:rPr>
          <w:color w:val="000000"/>
          <w:spacing w:val="-2"/>
          <w:szCs w:val="24"/>
          <w:lang w:eastAsia="lt-LT"/>
        </w:rPr>
        <w:t>skiriami aukciono būdu.</w:t>
      </w:r>
    </w:p>
    <w:p>
      <w:pPr>
        <w:tabs>
          <w:tab w:val="left" w:pos="709"/>
          <w:tab w:val="left" w:pos="1418"/>
          <w:tab w:val="left" w:pos="1701"/>
        </w:tabs>
        <w:suppressAutoHyphens/>
        <w:ind w:firstLine="567"/>
        <w:jc w:val="both"/>
        <w:textAlignment w:val="center"/>
        <w:rPr>
          <w:color w:val="000000"/>
          <w:szCs w:val="24"/>
          <w:lang w:eastAsia="lt-LT"/>
        </w:rPr>
      </w:pPr>
      <w:r>
        <w:rPr>
          <w:color w:val="000000"/>
          <w:szCs w:val="24"/>
        </w:rPr>
        <w:t>5</w:t>
      </w:r>
      <w:r>
        <w:rPr>
          <w:color w:val="000000"/>
          <w:szCs w:val="24"/>
        </w:rPr>
        <w:t>. Radijo dažniai (kanalai) iš 821–832 MHz radijo dažnių juostos skiriami vadovaujantis</w:t>
      </w:r>
      <w:r>
        <w:rPr>
          <w:color w:val="000000"/>
          <w:spacing w:val="-2"/>
          <w:szCs w:val="24"/>
        </w:rPr>
        <w:t xml:space="preserve"> </w:t>
      </w:r>
      <w:r>
        <w:rPr>
          <w:color w:val="000000"/>
          <w:szCs w:val="24"/>
        </w:rPr>
        <w:t>Dažnių lentelės 3 punkto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cc55f0b26511e88f64a5ecc703f89b">
        <w:r w:rsidRPr="00532B9F">
          <w:rPr>
            <w:rFonts w:ascii="Times New Roman" w:eastAsia="MS Mincho" w:hAnsi="Times New Roman"/>
            <w:sz w:val="20"/>
            <w:i/>
            <w:iCs/>
            <w:color w:val="0000FF" w:themeColor="hyperlink"/>
            <w:u w:val="single"/>
          </w:rPr>
          <w:t>1V-836</w:t>
        </w:r>
      </w:fldSimple>
      <w:r>
        <w:rPr>
          <w:rFonts w:ascii="Times New Roman" w:eastAsia="MS Mincho" w:hAnsi="Times New Roman"/>
          <w:sz w:val="20"/>
          <w:i/>
          <w:iCs/>
        </w:rPr>
        <w:t>,
2018-09-06,
paskelbta TAR 2018-09-07, i. k. 2018-14200            </w:t>
      </w:r>
    </w:p>
    <w:p/>
    <w:p>
      <w:pPr>
        <w:widowControl w:val="0"/>
        <w:suppressAutoHyphens/>
        <w:ind w:firstLine="567"/>
        <w:jc w:val="both"/>
        <w:rPr>
          <w:color w:val="000000"/>
          <w:szCs w:val="24"/>
          <w:lang w:eastAsia="lt-LT"/>
        </w:rPr>
      </w:pPr>
      <w:r>
        <w:rPr>
          <w:color w:val="000000"/>
          <w:szCs w:val="24"/>
          <w:lang w:eastAsia="lt-LT"/>
        </w:rPr>
        <w:t>6</w:t>
      </w:r>
      <w:r>
        <w:rPr>
          <w:color w:val="000000"/>
          <w:szCs w:val="24"/>
          <w:lang w:eastAsia="lt-LT"/>
        </w:rPr>
        <w:t>. Į Plano 4 ir 5 punktuose nurodytas radijo dažnių juostas įskaitomos ir apsauginės radijo dažnių juostos, jeigu jos reikalingos.</w:t>
      </w:r>
    </w:p>
    <w:p>
      <w:pPr>
        <w:widowControl w:val="0"/>
        <w:suppressAutoHyphens/>
        <w:ind w:firstLine="567"/>
        <w:jc w:val="both"/>
        <w:rPr>
          <w:color w:val="000000"/>
          <w:szCs w:val="24"/>
          <w:lang w:eastAsia="lt-LT"/>
        </w:rPr>
      </w:pPr>
      <w:r>
        <w:rPr>
          <w:color w:val="000000"/>
          <w:szCs w:val="24"/>
          <w:lang w:eastAsia="lt-LT"/>
        </w:rPr>
        <w:t>7</w:t>
      </w:r>
      <w:r>
        <w:rPr>
          <w:color w:val="000000"/>
          <w:szCs w:val="24"/>
          <w:lang w:eastAsia="lt-LT"/>
        </w:rPr>
        <w:t xml:space="preserve">. Tarnyba, vadovaudamasi Lietuvos Respublikos elektroninių ryšių įstatymo 52 straipsnio 1 dalies 3 punktu ir 55 straipsniu, savo iniciatyva skelbia aukcioną (-us) suteikti teisę naudoti radijo dažnius (kanalus), nurodytus Plano 4.1 ir (ar) 4.2 punktuose, ir suteikia teisę naudoti šiuos radijo dažnius (kanalus) išduodama leidimus. </w:t>
      </w:r>
      <w:r>
        <w:rPr>
          <w:color w:val="000000"/>
          <w:spacing w:val="-2"/>
          <w:szCs w:val="24"/>
          <w:lang w:eastAsia="lt-LT"/>
        </w:rPr>
        <w:t xml:space="preserve">Leidimų </w:t>
      </w:r>
      <w:r>
        <w:rPr>
          <w:color w:val="000000"/>
          <w:szCs w:val="24"/>
          <w:lang w:eastAsia="lt-LT"/>
        </w:rPr>
        <w:t xml:space="preserve">naudoti radijo dažnius (kanalus), nurodytus Plano 4.1 ir (ar) 4.2 punktuose (toliau visi kartu – Leidimai, o kiekvienas atskirai – Leidimas), </w:t>
      </w:r>
      <w:r>
        <w:rPr>
          <w:color w:val="000000"/>
          <w:spacing w:val="-2"/>
          <w:szCs w:val="24"/>
          <w:lang w:eastAsia="lt-LT"/>
        </w:rPr>
        <w:t>galiojimo terminas – iki 2030 m. liepos 1 d</w:t>
      </w:r>
      <w:r>
        <w:rPr>
          <w:color w:val="000000"/>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42D4475A21">
        <w:r w:rsidRPr="00532B9F">
          <w:rPr>
            <w:rFonts w:ascii="Times New Roman" w:eastAsia="MS Mincho" w:hAnsi="Times New Roman"/>
            <w:sz w:val="20"/>
            <w:i/>
            <w:iCs/>
            <w:color w:val="0000FF" w:themeColor="hyperlink"/>
            <w:u w:val="single"/>
          </w:rPr>
          <w:t>1V-939</w:t>
        </w:r>
      </w:fldSimple>
      <w:r>
        <w:rPr>
          <w:rFonts w:ascii="Times New Roman" w:eastAsia="MS Mincho" w:hAnsi="Times New Roman"/>
          <w:sz w:val="20"/>
          <w:i/>
          <w:iCs/>
        </w:rPr>
        <w:t>,
2013-06-18,
Žin., 2013, Nr.
66-3330 (2013-06-22), i. k. 11311RRISAK001V-939            </w:t>
      </w:r>
    </w:p>
    <w:p/>
    <w:p>
      <w:pPr>
        <w:widowControl w:val="0"/>
        <w:suppressAutoHyphens/>
        <w:ind w:firstLine="567"/>
        <w:jc w:val="both"/>
        <w:rPr>
          <w:color w:val="000000"/>
          <w:szCs w:val="24"/>
          <w:lang w:eastAsia="lt-LT"/>
        </w:rPr>
      </w:pPr>
      <w:r>
        <w:rPr>
          <w:color w:val="000000"/>
          <w:szCs w:val="24"/>
          <w:lang w:eastAsia="lt-LT"/>
        </w:rPr>
        <w:t>8</w:t>
      </w:r>
      <w:r>
        <w:rPr>
          <w:color w:val="000000"/>
          <w:szCs w:val="24"/>
          <w:lang w:eastAsia="lt-LT"/>
        </w:rPr>
        <w:t xml:space="preserve">. </w:t>
      </w:r>
      <w:r>
        <w:rPr>
          <w:color w:val="000000"/>
          <w:spacing w:val="-2"/>
          <w:szCs w:val="24"/>
          <w:lang w:eastAsia="lt-LT"/>
        </w:rPr>
        <w:t xml:space="preserve">Kiekvienam </w:t>
      </w:r>
      <w:r>
        <w:rPr>
          <w:color w:val="000000"/>
          <w:szCs w:val="24"/>
          <w:lang w:eastAsia="lt-LT"/>
        </w:rPr>
        <w:t>aukciono suteikti teisę naudoti radijo dažnius (kanalus), nurodytus Plano 4.1 ir (ar) 4.2 punktuose,</w:t>
      </w:r>
      <w:r>
        <w:rPr>
          <w:color w:val="000000"/>
          <w:spacing w:val="-2"/>
          <w:szCs w:val="24"/>
          <w:lang w:eastAsia="lt-LT"/>
        </w:rPr>
        <w:t xml:space="preserve"> laimėtojui </w:t>
      </w:r>
      <w:r>
        <w:rPr>
          <w:color w:val="000000"/>
          <w:szCs w:val="24"/>
          <w:lang w:eastAsia="lt-LT"/>
        </w:rPr>
        <w:t xml:space="preserve">(įskaitant su juo susijusius asmenis) </w:t>
      </w:r>
      <w:r>
        <w:rPr>
          <w:color w:val="000000"/>
          <w:spacing w:val="-2"/>
          <w:szCs w:val="24"/>
          <w:lang w:eastAsia="lt-LT"/>
        </w:rPr>
        <w:t>gali būti suteikta teisė naudoti ne didesnio kaip 2x10 MHz pločio radijo dažnių juostą.</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SKYRIUS</w:t>
        <w:br/>
        <w:t xml:space="preserve">RADIJO DAŽNIŲ (KANALŲ) NAUDOJIMAS </w:t>
      </w:r>
    </w:p>
    <w:p>
      <w:pPr>
        <w:widowControl w:val="0"/>
        <w:suppressAutoHyphens/>
        <w:ind w:firstLine="567"/>
        <w:jc w:val="both"/>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cc55f0b26511e88f64a5ecc703f89b">
        <w:r w:rsidRPr="00532B9F">
          <w:rPr>
            <w:rFonts w:ascii="Times New Roman" w:eastAsia="MS Mincho" w:hAnsi="Times New Roman"/>
            <w:sz w:val="20"/>
            <w:i/>
            <w:iCs/>
            <w:color w:val="0000FF" w:themeColor="hyperlink"/>
            <w:u w:val="single"/>
          </w:rPr>
          <w:t>1V-836</w:t>
        </w:r>
      </w:fldSimple>
      <w:r>
        <w:rPr>
          <w:rFonts w:ascii="Times New Roman" w:eastAsia="MS Mincho" w:hAnsi="Times New Roman"/>
          <w:sz w:val="20"/>
          <w:i/>
          <w:iCs/>
        </w:rPr>
        <w:t>,
2018-09-06,
paskelbta TAR 2018-09-07, i. k. 2018-14200        </w:t>
      </w:r>
    </w:p>
    <w:p/>
    <w:p>
      <w:pPr>
        <w:widowControl w:val="0"/>
        <w:suppressAutoHyphens/>
        <w:ind w:firstLine="567"/>
        <w:jc w:val="both"/>
        <w:rPr>
          <w:color w:val="000000"/>
          <w:szCs w:val="24"/>
          <w:lang w:eastAsia="lt-LT"/>
        </w:rPr>
      </w:pPr>
      <w:r>
        <w:rPr>
          <w:color w:val="000000"/>
          <w:szCs w:val="24"/>
          <w:lang w:eastAsia="lt-LT"/>
        </w:rPr>
        <w:t>9</w:t>
      </w:r>
      <w:r>
        <w:rPr>
          <w:color w:val="000000"/>
          <w:szCs w:val="24"/>
          <w:lang w:eastAsia="lt-LT"/>
        </w:rPr>
        <w:t>. Leidimų turėtojai privalo laikytis Plane, kituose teisės aktuose, tarptautinėse sutartyse ir (ar) susitarimuose ir Tarnybos nustatytų radijo dažnių (kanalų) naudojimo sąlygų. Pagal aukciono suteikti teisę naudoti radijo dažnius (kanalus), nurodytus Plano 4.1 ir (ar) 4.2 punktuose, dalyvio prisiimtus įsipareigojimus, nurodytus šiam aukcionui pateiktuose pasiūlymuose, nepažeidžiant Lietuvos Respublikos elektroninių ryšių įstatymo 2 straipsnyje nurodytų principų, Leidimuose gali būti nurodytos griežtesnės sąlygos nei numatytos Plane.</w:t>
      </w:r>
    </w:p>
    <w:p>
      <w:pPr>
        <w:tabs>
          <w:tab w:val="left" w:pos="709"/>
          <w:tab w:val="left" w:pos="1418"/>
          <w:tab w:val="left" w:pos="1701"/>
        </w:tabs>
        <w:suppressAutoHyphens/>
        <w:ind w:firstLine="567"/>
        <w:jc w:val="both"/>
        <w:textAlignment w:val="center"/>
        <w:rPr>
          <w:color w:val="000000"/>
          <w:szCs w:val="24"/>
          <w:lang w:eastAsia="lt-LT"/>
        </w:rPr>
      </w:pPr>
      <w:r>
        <w:rPr>
          <w:color w:val="000000"/>
          <w:szCs w:val="24"/>
        </w:rPr>
        <w:t>10</w:t>
      </w:r>
      <w:r>
        <w:rPr>
          <w:color w:val="000000"/>
          <w:szCs w:val="24"/>
        </w:rPr>
        <w:t xml:space="preserve">. Radijo dažniai (kanalai) Antžeminėse sistemose naudojami vadovaujantis Radijo dažnių (kanalų) skyrimo ir naudojimo taisyklėmis, Dažnių lentele, atsižvelgiant į tarptautines sutartis ir dvišalius ar daugiašalius susitarimus dėl radijo dažnių (kanalų) naudojimo ir taikant dažninio dvipusio atskyrimo (angl. </w:t>
      </w:r>
      <w:r>
        <w:rPr>
          <w:i/>
          <w:iCs/>
          <w:color w:val="000000"/>
          <w:szCs w:val="24"/>
        </w:rPr>
        <w:t>Frequency Division Duplex</w:t>
      </w:r>
      <w:r>
        <w:rPr>
          <w:color w:val="000000"/>
          <w:szCs w:val="24"/>
        </w:rPr>
        <w:t>) metodą.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cc55f0b26511e88f64a5ecc703f89b">
        <w:r w:rsidRPr="00532B9F">
          <w:rPr>
            <w:rFonts w:ascii="Times New Roman" w:eastAsia="MS Mincho" w:hAnsi="Times New Roman"/>
            <w:sz w:val="20"/>
            <w:i/>
            <w:iCs/>
            <w:color w:val="0000FF" w:themeColor="hyperlink"/>
            <w:u w:val="single"/>
          </w:rPr>
          <w:t>1V-836</w:t>
        </w:r>
      </w:fldSimple>
      <w:r>
        <w:rPr>
          <w:rFonts w:ascii="Times New Roman" w:eastAsia="MS Mincho" w:hAnsi="Times New Roman"/>
          <w:sz w:val="20"/>
          <w:i/>
          <w:iCs/>
        </w:rPr>
        <w:t>,
2018-09-06,
paskelbta TAR 2018-09-07, i. k. 2018-14200            </w:t>
      </w:r>
    </w:p>
    <w:p/>
    <w:p>
      <w:pPr>
        <w:widowControl w:val="0"/>
        <w:suppressAutoHyphens/>
        <w:ind w:firstLine="567"/>
        <w:jc w:val="both"/>
        <w:rPr>
          <w:color w:val="000000"/>
          <w:szCs w:val="24"/>
          <w:lang w:eastAsia="lt-LT"/>
        </w:rPr>
      </w:pPr>
      <w:r>
        <w:rPr>
          <w:color w:val="000000"/>
          <w:szCs w:val="24"/>
          <w:lang w:eastAsia="lt-LT"/>
        </w:rPr>
        <w:t>11</w:t>
      </w:r>
      <w:r>
        <w:rPr>
          <w:color w:val="000000"/>
          <w:szCs w:val="24"/>
          <w:lang w:eastAsia="lt-LT"/>
        </w:rPr>
        <w:t>. Siekdama apsaugoti nuo žalingųjų trukdžių kitas teisėtai veikiančias radijo ryšio sistemas, atsižvelgdama į radijo dažnių (kanalų) koordinavimo su kitų valstybių radijo ryšio administracijomis rezultatus arba jeigu reikia pašalinti esamus ar galimus radijo trukdžius tarp radijo dažnių (kanalų) naudotojų įrenginių, taip pat kitais objektyviai pagrįstais atvejais Tarnyba gali pakeisti radijo dažnių (kanalų), nurodytų Plano 4.1 ir (ar) 4.2 punktuose, naudojimo sąlygas.</w:t>
      </w:r>
    </w:p>
    <w:p>
      <w:pPr>
        <w:widowControl w:val="0"/>
        <w:suppressAutoHyphens/>
        <w:ind w:firstLine="567"/>
        <w:jc w:val="both"/>
        <w:rPr>
          <w:color w:val="000000"/>
          <w:spacing w:val="-4"/>
          <w:szCs w:val="24"/>
          <w:lang w:eastAsia="lt-LT"/>
        </w:rPr>
      </w:pPr>
      <w:r>
        <w:rPr>
          <w:color w:val="000000"/>
          <w:spacing w:val="-4"/>
          <w:szCs w:val="24"/>
          <w:lang w:eastAsia="lt-LT"/>
        </w:rPr>
        <w:t>12</w:t>
      </w:r>
      <w:r>
        <w:rPr>
          <w:color w:val="000000"/>
          <w:spacing w:val="-4"/>
          <w:szCs w:val="24"/>
          <w:lang w:eastAsia="lt-LT"/>
        </w:rPr>
        <w:t>. Tarnyba turi teisę panaikinti Leidimą ar pakeisti radijo dažnius (kanalus), nurodytus Plano 4.1 ir (ar) 4.2 punktuose, kitais tos pačios paskirties radijo dažniais (kanalais) Lietuvos Respublikos elektroninių ryšių įstatymo nustatyta tvarka ir atvejais.</w:t>
      </w:r>
    </w:p>
    <w:p>
      <w:pPr>
        <w:tabs>
          <w:tab w:val="left" w:pos="709"/>
          <w:tab w:val="left" w:pos="1701"/>
        </w:tabs>
        <w:suppressAutoHyphens/>
        <w:ind w:firstLine="567"/>
        <w:jc w:val="both"/>
        <w:textAlignment w:val="center"/>
        <w:rPr>
          <w:color w:val="000000"/>
          <w:szCs w:val="24"/>
          <w:lang w:eastAsia="lt-LT"/>
        </w:rPr>
      </w:pPr>
      <w:r>
        <w:rPr>
          <w:color w:val="000000"/>
          <w:szCs w:val="24"/>
        </w:rPr>
        <w:t>13</w:t>
      </w:r>
      <w:r>
        <w:rPr>
          <w:color w:val="000000"/>
          <w:szCs w:val="24"/>
        </w:rPr>
        <w:t>. Leidimų turėtojų naudojami radijo ryšio įrenginiai turi atitikti Radijo ryšio įrenginių techninio reglamento, patvirtinto Tarnybos direktoriaus 2016 m. birželio 14 d. įsakymu Nr. 1V-670 „Dėl Radijo ryšio įrenginių techninio reglamento patvirtinimo“,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cc55f0b26511e88f64a5ecc703f89b">
        <w:r w:rsidRPr="00532B9F">
          <w:rPr>
            <w:rFonts w:ascii="Times New Roman" w:eastAsia="MS Mincho" w:hAnsi="Times New Roman"/>
            <w:sz w:val="20"/>
            <w:i/>
            <w:iCs/>
            <w:color w:val="0000FF" w:themeColor="hyperlink"/>
            <w:u w:val="single"/>
          </w:rPr>
          <w:t>1V-836</w:t>
        </w:r>
      </w:fldSimple>
      <w:r>
        <w:rPr>
          <w:rFonts w:ascii="Times New Roman" w:eastAsia="MS Mincho" w:hAnsi="Times New Roman"/>
          <w:sz w:val="20"/>
          <w:i/>
          <w:iCs/>
        </w:rPr>
        <w:t>,
2018-09-06,
paskelbta TAR 2018-09-07, i. k. 2018-14200            </w:t>
      </w:r>
    </w:p>
    <w:p/>
    <w:p>
      <w:pPr>
        <w:tabs>
          <w:tab w:val="left" w:pos="709"/>
          <w:tab w:val="left" w:pos="1701"/>
        </w:tabs>
        <w:suppressAutoHyphens/>
        <w:ind w:firstLine="567"/>
        <w:jc w:val="both"/>
        <w:textAlignment w:val="center"/>
        <w:rPr>
          <w:color w:val="000000"/>
          <w:spacing w:val="-2"/>
          <w:szCs w:val="24"/>
          <w:lang w:eastAsia="lt-LT"/>
        </w:rPr>
      </w:pPr>
      <w:r>
        <w:rPr>
          <w:spacing w:val="-2"/>
          <w:szCs w:val="24"/>
        </w:rPr>
        <w:t>14</w:t>
      </w:r>
      <w:r>
        <w:rPr>
          <w:spacing w:val="-2"/>
          <w:szCs w:val="24"/>
        </w:rPr>
        <w:t>. Antžeminėse sistemose rekomenduojama naudoti radijo ryšio sąsajas, nurodytas Tarptautinės telekomunikacijų sąjungos rekomendacijo</w:t>
      </w:r>
      <w:r>
        <w:rPr>
          <w:bCs/>
          <w:spacing w:val="-2"/>
          <w:szCs w:val="24"/>
        </w:rPr>
        <w:t>se</w:t>
      </w:r>
      <w:r>
        <w:rPr>
          <w:spacing w:val="-2"/>
          <w:szCs w:val="24"/>
        </w:rPr>
        <w:t xml:space="preserve"> ITU-R M. 1457 „Tarptautinės judriojo ryšio sistemos radijo ryšio sąsajų detalios specifikacijos“ </w:t>
      </w:r>
      <w:r>
        <w:rPr>
          <w:bCs/>
          <w:spacing w:val="-2"/>
          <w:szCs w:val="24"/>
        </w:rPr>
        <w:t xml:space="preserve">ir </w:t>
      </w:r>
      <w:r>
        <w:rPr>
          <w:bCs/>
          <w:szCs w:val="24"/>
        </w:rPr>
        <w:t>ITU-R M. 2012 „Tarptautinės judriojo ryšio pažangiosios sistemos radijo ryšio sąsajų detalios specifikacijos</w:t>
      </w:r>
      <w:r>
        <w:rPr>
          <w:spacing w:val="-2"/>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cc55f0b26511e88f64a5ecc703f89b">
        <w:r w:rsidRPr="00532B9F">
          <w:rPr>
            <w:rFonts w:ascii="Times New Roman" w:eastAsia="MS Mincho" w:hAnsi="Times New Roman"/>
            <w:sz w:val="20"/>
            <w:i/>
            <w:iCs/>
            <w:color w:val="0000FF" w:themeColor="hyperlink"/>
            <w:u w:val="single"/>
          </w:rPr>
          <w:t>1V-836</w:t>
        </w:r>
      </w:fldSimple>
      <w:r>
        <w:rPr>
          <w:rFonts w:ascii="Times New Roman" w:eastAsia="MS Mincho" w:hAnsi="Times New Roman"/>
          <w:sz w:val="20"/>
          <w:i/>
          <w:iCs/>
        </w:rPr>
        <w:t>,
2018-09-06,
paskelbta TAR 2018-09-07, i. k. 2018-14200            </w:t>
      </w:r>
    </w:p>
    <w:p/>
    <w:p>
      <w:pPr>
        <w:widowControl w:val="0"/>
        <w:suppressAutoHyphens/>
        <w:ind w:firstLine="567"/>
        <w:jc w:val="both"/>
        <w:rPr>
          <w:color w:val="000000"/>
          <w:spacing w:val="-2"/>
          <w:szCs w:val="24"/>
          <w:lang w:eastAsia="lt-LT"/>
        </w:rPr>
      </w:pPr>
      <w:r>
        <w:rPr>
          <w:color w:val="000000"/>
          <w:spacing w:val="-2"/>
          <w:szCs w:val="24"/>
          <w:lang w:eastAsia="lt-LT"/>
        </w:rPr>
        <w:t>15</w:t>
      </w:r>
      <w:r>
        <w:rPr>
          <w:color w:val="000000"/>
          <w:spacing w:val="-2"/>
          <w:szCs w:val="24"/>
          <w:lang w:eastAsia="lt-LT"/>
        </w:rPr>
        <w:t>. Leidimų turėtojai privalo užtikrinti, kad Antžeminių sistemų bazinės stotys nekeltų radijo trukdžių skaitmeninės antžeminės televizijos, veikiančios 470–790 MHz radijo dažnių juostose, programų priėmimui visoje Lietuvos Respublikos teritorijoje. Antžeminių sistemų bazinių stočių suderinamumo su skaitmeninės antžeminės televizijos programų priėmimo įrenginiais, kai nenaudojami antenų stiprintuvai, kriterijai nustatyti Plano 1 priede. Leidimų turėtojai, kurių Antžeminių sistemų bazinės stotys sukėlė radijo trukdžius skaitmeninės antžeminės televizijos programų priėmimui, privalo nedelsdami imtis priemonių jiems pašalinti, taip pat, jei reikia, savo lėšomis įgyvendinti technines ir kitas priemones, įskaitant televizijos signalų priėmimo įrangos modernizavimą ir (ar) televizijos paslaugų teikėjo pakeitimą, kad būtų išvengta tokių radijo trukdžių.</w:t>
      </w:r>
    </w:p>
    <w:p>
      <w:pPr>
        <w:widowControl w:val="0"/>
        <w:suppressAutoHyphens/>
        <w:ind w:firstLine="567"/>
        <w:jc w:val="both"/>
        <w:rPr>
          <w:color w:val="000000"/>
          <w:szCs w:val="24"/>
          <w:lang w:eastAsia="lt-LT"/>
        </w:rPr>
      </w:pPr>
      <w:r>
        <w:rPr>
          <w:color w:val="000000"/>
          <w:szCs w:val="24"/>
          <w:lang w:eastAsia="lt-LT"/>
        </w:rPr>
        <w:t>16</w:t>
      </w:r>
      <w:r>
        <w:rPr>
          <w:color w:val="000000"/>
          <w:szCs w:val="24"/>
          <w:lang w:eastAsia="lt-LT"/>
        </w:rPr>
        <w:t>. Su užsienio valstybėmis suderintos radijo dažnių (kanalų) naudojimo sąlygos nurodytos Plano 2 priede.</w:t>
      </w:r>
    </w:p>
    <w:p>
      <w:pPr>
        <w:widowControl w:val="0"/>
        <w:suppressAutoHyphens/>
        <w:ind w:firstLine="567"/>
        <w:jc w:val="both"/>
        <w:rPr>
          <w:color w:val="000000"/>
          <w:szCs w:val="24"/>
          <w:lang w:eastAsia="lt-LT"/>
        </w:rPr>
      </w:pPr>
      <w:r>
        <w:rPr>
          <w:color w:val="000000"/>
          <w:szCs w:val="24"/>
          <w:lang w:eastAsia="lt-LT"/>
        </w:rPr>
        <w:t>17</w:t>
      </w:r>
      <w:r>
        <w:rPr>
          <w:color w:val="000000"/>
          <w:szCs w:val="24"/>
          <w:lang w:eastAsia="lt-LT"/>
        </w:rPr>
        <w:t>. Tarnyba turi teisę nustatyti padidėjusios interferencijos zonas Antžeminių sistemų radijo ryšio stotims, jei tokias zonas būtina nustatyti siekiant užtikrinti radiolokacijos ir (ar) radijo navigacijos radijo ryšio stočių veiklą. Antžeminių sistemų radijo ryšio stočių, esančių padidėjusios interferencijos zonose, naudotojai negali reikalauti apsaugos nuo teisėtai veikiančių radiolokacijos įrenginių.</w:t>
      </w:r>
    </w:p>
    <w:p>
      <w:pPr>
        <w:widowControl w:val="0"/>
        <w:suppressAutoHyphens/>
        <w:ind w:firstLine="567"/>
        <w:jc w:val="both"/>
        <w:rPr>
          <w:color w:val="000000"/>
          <w:spacing w:val="-4"/>
          <w:szCs w:val="24"/>
          <w:lang w:eastAsia="lt-LT"/>
        </w:rPr>
      </w:pPr>
      <w:r>
        <w:rPr>
          <w:color w:val="000000"/>
          <w:spacing w:val="-4"/>
          <w:szCs w:val="24"/>
          <w:lang w:eastAsia="lt-LT"/>
        </w:rPr>
        <w:t>18</w:t>
      </w:r>
      <w:r>
        <w:rPr>
          <w:color w:val="000000"/>
          <w:spacing w:val="-4"/>
          <w:szCs w:val="24"/>
          <w:lang w:eastAsia="lt-LT"/>
        </w:rPr>
        <w:t>. Leidimų turėtojai turi teisę perleisti jiems skirtus radijo dažnius (kanalus), nurodytus Plano 4.1 ir (ar) 4.2 punktuose, kitiems asmenims Radijo dažnių (kanalų) skyrimo ir naudojimo taisyklėse ir aukciono sąlygų apraše nustatyta tvarka ir sąlygomis.</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SKYRIUS</w:t>
        <w:br/>
        <w:t>MINIMALIEJI ANTŽEMINIŲ SISTEMŲ PLĖTROS REIKALAVIMAI</w:t>
      </w:r>
    </w:p>
    <w:p>
      <w:pPr>
        <w:widowControl w:val="0"/>
        <w:suppressAutoHyphens/>
        <w:ind w:firstLine="567"/>
        <w:jc w:val="both"/>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cc55f0b26511e88f64a5ecc703f89b">
        <w:r w:rsidRPr="00532B9F">
          <w:rPr>
            <w:rFonts w:ascii="Times New Roman" w:eastAsia="MS Mincho" w:hAnsi="Times New Roman"/>
            <w:sz w:val="20"/>
            <w:i/>
            <w:iCs/>
            <w:color w:val="0000FF" w:themeColor="hyperlink"/>
            <w:u w:val="single"/>
          </w:rPr>
          <w:t>1V-836</w:t>
        </w:r>
      </w:fldSimple>
      <w:r>
        <w:rPr>
          <w:rFonts w:ascii="Times New Roman" w:eastAsia="MS Mincho" w:hAnsi="Times New Roman"/>
          <w:sz w:val="20"/>
          <w:i/>
          <w:iCs/>
        </w:rPr>
        <w:t>,
2018-09-06,
paskelbta TAR 2018-09-07, i. k. 2018-14200        </w:t>
      </w:r>
    </w:p>
    <w:p/>
    <w:p>
      <w:pPr>
        <w:widowControl w:val="0"/>
        <w:suppressAutoHyphens/>
        <w:ind w:firstLine="567"/>
        <w:jc w:val="both"/>
        <w:rPr>
          <w:color w:val="000000"/>
          <w:szCs w:val="24"/>
          <w:lang w:eastAsia="lt-LT"/>
        </w:rPr>
      </w:pPr>
      <w:r>
        <w:rPr>
          <w:color w:val="000000"/>
          <w:szCs w:val="24"/>
          <w:lang w:eastAsia="lt-LT"/>
        </w:rPr>
        <w:t>19</w:t>
      </w:r>
      <w:r>
        <w:rPr>
          <w:color w:val="000000"/>
          <w:szCs w:val="24"/>
          <w:lang w:eastAsia="lt-LT"/>
        </w:rPr>
        <w:t xml:space="preserve">. Leidimo naudoti radijo dažnius (kanalus), nurodytus Plano 4.1 punkte, turėtojas </w:t>
      </w:r>
      <w:r>
        <w:rPr>
          <w:color w:val="000000"/>
          <w:spacing w:val="-2"/>
          <w:szCs w:val="24"/>
          <w:lang w:eastAsia="lt-LT"/>
        </w:rPr>
        <w:t xml:space="preserve">privalo užtikrinti šiuos minimaliuosius </w:t>
      </w:r>
      <w:r>
        <w:rPr>
          <w:color w:val="000000"/>
          <w:szCs w:val="24"/>
          <w:lang w:eastAsia="lt-LT"/>
        </w:rPr>
        <w:t>Antžeminių sistemų plėtros reikalavimus:</w:t>
      </w:r>
    </w:p>
    <w:p>
      <w:pPr>
        <w:widowControl w:val="0"/>
        <w:suppressAutoHyphens/>
        <w:ind w:firstLine="567"/>
        <w:jc w:val="both"/>
        <w:rPr>
          <w:color w:val="000000"/>
          <w:spacing w:val="-6"/>
          <w:szCs w:val="24"/>
          <w:lang w:eastAsia="lt-LT"/>
        </w:rPr>
      </w:pPr>
      <w:r>
        <w:rPr>
          <w:color w:val="000000"/>
          <w:spacing w:val="-6"/>
          <w:szCs w:val="24"/>
          <w:lang w:eastAsia="lt-LT"/>
        </w:rPr>
        <w:t>19.1</w:t>
      </w:r>
      <w:r>
        <w:rPr>
          <w:color w:val="000000"/>
          <w:spacing w:val="-6"/>
          <w:szCs w:val="24"/>
          <w:lang w:eastAsia="lt-LT"/>
        </w:rPr>
        <w:t>. ne vėliau kaip per trejus metus nuo šio leidimo išdavimo dienos įrengti Antžemines sistemas ir sudaryti galimybę jomis gauti ne mažesnės kaip 2 Mb/s duomenų perdavimo spartos elektroninių ryšių paslaugas ne mažiau kaip 30 procentų aukciono sąlygų apraše nurodytų seniūnijų, aprėpiant ne mažiau kaip 50 procentų kiekvienos iš tų seniūnijų teritorijoje esančių namų ūkių;</w:t>
      </w:r>
    </w:p>
    <w:p>
      <w:pPr>
        <w:widowControl w:val="0"/>
        <w:suppressAutoHyphens/>
        <w:ind w:firstLine="567"/>
        <w:jc w:val="both"/>
      </w:pPr>
      <w:r>
        <w:rPr>
          <w:color w:val="000000"/>
          <w:szCs w:val="24"/>
          <w:lang w:eastAsia="lt-LT"/>
        </w:rPr>
        <w:t>19.2</w:t>
      </w:r>
      <w:r>
        <w:rPr>
          <w:color w:val="000000"/>
          <w:szCs w:val="24"/>
          <w:lang w:eastAsia="lt-LT"/>
        </w:rPr>
        <w:t>. ne vėliau kaip per penkerius metus nuo šio leidimo išdavimo dienos įrengti Antžemines sistemas ir sudaryti galimybę jomis gauti ne mažesnės kaip 2 Mb/s duomenų perdavimo spartos elektroninių ryšių paslaugas ne mažiau kaip 80 procentų aukciono sąlygų apraše nurodytų seniūnijų, aprėpiant ne mažiau kaip 85 procentus kiekvienos iš tų seniūnijų teritorijoje esančių namų ūkių;</w:t>
      </w:r>
    </w:p>
    <w:p>
      <w:pPr>
        <w:widowControl w:val="0"/>
        <w:ind w:firstLine="567"/>
        <w:jc w:val="both"/>
        <w:rPr>
          <w:color w:val="000000"/>
          <w:szCs w:val="24"/>
          <w:lang w:eastAsia="lt-LT"/>
        </w:rPr>
      </w:pPr>
      <w:r>
        <w:rPr>
          <w:color w:val="000000"/>
          <w:szCs w:val="24"/>
          <w:lang w:eastAsia="lt-LT"/>
        </w:rPr>
        <w:t>19.3</w:t>
      </w:r>
      <w:r>
        <w:rPr>
          <w:color w:val="000000"/>
          <w:szCs w:val="24"/>
          <w:lang w:eastAsia="lt-LT"/>
        </w:rPr>
        <w:t>. ne vėliau kaip iki 2020 metų įrengti Antžemines sistemas ir sudaryti galimybę jomis gauti ne mažesnės kaip 4 Mb/s duomenų perdavimo spartos elektroninių ryšių paslaugas ne mažiau kaip 95 procentams namų ūkių, esančių kiekvienoje iš aukciono sąlygų apraše nurodytų seniūnijų.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42D4475A21">
        <w:r w:rsidRPr="00532B9F">
          <w:rPr>
            <w:rFonts w:ascii="Times New Roman" w:eastAsia="MS Mincho" w:hAnsi="Times New Roman"/>
            <w:sz w:val="20"/>
            <w:i/>
            <w:iCs/>
            <w:color w:val="0000FF" w:themeColor="hyperlink"/>
            <w:u w:val="single"/>
          </w:rPr>
          <w:t>1V-939</w:t>
        </w:r>
      </w:fldSimple>
      <w:r>
        <w:rPr>
          <w:rFonts w:ascii="Times New Roman" w:eastAsia="MS Mincho" w:hAnsi="Times New Roman"/>
          <w:sz w:val="20"/>
          <w:i/>
          <w:iCs/>
        </w:rPr>
        <w:t>,
2013-06-18,
Žin., 2013, Nr.
66-3330 (2013-06-22), i. k. 11311RRISAK001V-939        </w:t>
      </w:r>
    </w:p>
    <w:p/>
    <w:p>
      <w:pPr>
        <w:tabs>
          <w:tab w:val="left" w:pos="709"/>
          <w:tab w:val="left" w:pos="1418"/>
          <w:tab w:val="left" w:pos="1701"/>
        </w:tabs>
        <w:suppressAutoHyphens/>
        <w:ind w:firstLine="567"/>
        <w:jc w:val="both"/>
        <w:textAlignment w:val="center"/>
        <w:rPr>
          <w:color w:val="000000"/>
          <w:szCs w:val="24"/>
          <w:lang w:eastAsia="lt-LT"/>
        </w:rPr>
      </w:pPr>
      <w:r>
        <w:rPr>
          <w:color w:val="000000"/>
          <w:szCs w:val="24"/>
        </w:rPr>
        <w:t>20</w:t>
      </w:r>
      <w:r>
        <w:rPr>
          <w:color w:val="000000"/>
          <w:szCs w:val="24"/>
        </w:rPr>
        <w:t>. Plano 19 punkte nurodytos duomenų perdavimo spartos įvertinimo sąlygos ir skaičiavimo metodai nustatyti Interneto prieigos paslaugų kokybės rodiklių įvertinimo metodikoje, patvirtintoje Tarnybos direktoriaus 2009 m. kovo 20 d. įsakymu Nr. 1V-344 „Dėl Interneto prieigos paslaugų kokybės rodiklių įvertinimo metodikos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cc55f0b26511e88f64a5ecc703f89b">
        <w:r w:rsidRPr="00532B9F">
          <w:rPr>
            <w:rFonts w:ascii="Times New Roman" w:eastAsia="MS Mincho" w:hAnsi="Times New Roman"/>
            <w:sz w:val="20"/>
            <w:i/>
            <w:iCs/>
            <w:color w:val="0000FF" w:themeColor="hyperlink"/>
            <w:u w:val="single"/>
          </w:rPr>
          <w:t>1V-836</w:t>
        </w:r>
      </w:fldSimple>
      <w:r>
        <w:rPr>
          <w:rFonts w:ascii="Times New Roman" w:eastAsia="MS Mincho" w:hAnsi="Times New Roman"/>
          <w:sz w:val="20"/>
          <w:i/>
          <w:iCs/>
        </w:rPr>
        <w:t>,
2018-09-06,
paskelbta TAR 2018-09-07, i. k. 2018-14200            </w:t>
      </w:r>
    </w:p>
    <w:p/>
    <w:p>
      <w:pPr>
        <w:widowControl w:val="0"/>
        <w:suppressAutoHyphens/>
        <w:ind w:firstLine="567"/>
        <w:jc w:val="both"/>
        <w:rPr>
          <w:color w:val="000000"/>
          <w:szCs w:val="24"/>
          <w:lang w:eastAsia="lt-LT"/>
        </w:rPr>
      </w:pPr>
      <w:r>
        <w:rPr>
          <w:color w:val="000000"/>
          <w:szCs w:val="24"/>
          <w:lang w:eastAsia="lt-LT"/>
        </w:rPr>
        <w:t>21</w:t>
      </w:r>
      <w:r>
        <w:rPr>
          <w:color w:val="000000"/>
          <w:szCs w:val="24"/>
          <w:lang w:eastAsia="lt-LT"/>
        </w:rPr>
        <w:t>. Objektyviai pagrįstais atvejais, susijusiais su tarptautinio koordinavimo procedūromis ir elektromagnetinio suderinamumo užtikrinimu, Leidimų turėtojai šiame skyriuje nustatytus minimaliuosius Antžeminių sistemų plėtros reikalavimus gali įvykdyti naudodami ne vien radijo dažnius (kanalus), nurodytus Plano 4.1 ir (ar) 4.2 punktuose, bet ir kitus jų teisėtai naudojamus radijo dažnius (kanalus).</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SKYRIUS</w:t>
        <w:br/>
        <w:t xml:space="preserve">BAIGIAMOSIOS NUOSTATOS </w:t>
      </w:r>
    </w:p>
    <w:p>
      <w:pPr>
        <w:widowControl w:val="0"/>
        <w:suppressAutoHyphens/>
        <w:ind w:firstLine="567"/>
        <w:jc w:val="both"/>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cc55f0b26511e88f64a5ecc703f89b">
        <w:r w:rsidRPr="00532B9F">
          <w:rPr>
            <w:rFonts w:ascii="Times New Roman" w:eastAsia="MS Mincho" w:hAnsi="Times New Roman"/>
            <w:sz w:val="20"/>
            <w:i/>
            <w:iCs/>
            <w:color w:val="0000FF" w:themeColor="hyperlink"/>
            <w:u w:val="single"/>
          </w:rPr>
          <w:t>1V-836</w:t>
        </w:r>
      </w:fldSimple>
      <w:r>
        <w:rPr>
          <w:rFonts w:ascii="Times New Roman" w:eastAsia="MS Mincho" w:hAnsi="Times New Roman"/>
          <w:sz w:val="20"/>
          <w:i/>
          <w:iCs/>
        </w:rPr>
        <w:t>,
2018-09-06,
paskelbta TAR 2018-09-07, i. k. 2018-14200        </w:t>
      </w:r>
    </w:p>
    <w:p/>
    <w:p>
      <w:pPr>
        <w:widowControl w:val="0"/>
        <w:suppressAutoHyphens/>
        <w:ind w:firstLine="567"/>
        <w:jc w:val="both"/>
        <w:rPr>
          <w:color w:val="000000"/>
          <w:szCs w:val="24"/>
          <w:lang w:eastAsia="lt-LT"/>
        </w:rPr>
      </w:pPr>
      <w:r>
        <w:rPr>
          <w:color w:val="000000"/>
          <w:szCs w:val="24"/>
          <w:lang w:eastAsia="lt-LT"/>
        </w:rPr>
        <w:t>22</w:t>
      </w:r>
      <w:r>
        <w:rPr>
          <w:color w:val="000000"/>
          <w:szCs w:val="24"/>
          <w:lang w:eastAsia="lt-LT"/>
        </w:rPr>
        <w:t>. Asmenys, nesilaikantys Plano nuostatų, atsako teisės aktų nustatyta tvarka.</w:t>
      </w:r>
    </w:p>
    <w:p>
      <w:pPr>
        <w:widowControl w:val="0"/>
        <w:suppressAutoHyphens/>
        <w:jc w:val="center"/>
        <w:rPr>
          <w:color w:val="000000"/>
          <w:szCs w:val="24"/>
          <w:lang w:eastAsia="lt-LT"/>
        </w:rPr>
      </w:pPr>
    </w:p>
    <w:p>
      <w:pPr>
        <w:widowControl w:val="0"/>
        <w:suppressAutoHyphens/>
        <w:jc w:val="center"/>
        <w:rPr>
          <w:color w:val="000000"/>
          <w:szCs w:val="24"/>
          <w:lang w:eastAsia="lt-LT"/>
        </w:rPr>
      </w:pPr>
      <w:r>
        <w:rPr>
          <w:color w:val="000000"/>
          <w:szCs w:val="24"/>
          <w:lang w:eastAsia="lt-LT"/>
        </w:rPr>
        <w:t>_________________</w:t>
      </w:r>
    </w:p>
    <w:p>
      <w:pPr>
        <w:tabs>
          <w:tab w:val="left" w:pos="1134"/>
        </w:tabs>
        <w:suppressAutoHyphens/>
        <w:textAlignment w:val="center"/>
        <w:sectPr>
          <w:pgSz w:w="11907" w:h="16840" w:code="9"/>
          <w:pgMar w:top="1701" w:right="567" w:bottom="1134" w:left="1701" w:header="709" w:footer="709" w:gutter="0"/>
          <w:pgNumType w:start="1"/>
          <w:cols w:space="708"/>
          <w:titlePg/>
          <w:docGrid w:linePitch="326"/>
        </w:sectPr>
      </w:pPr>
    </w:p>
    <w:p>
      <w:pPr>
        <w:tabs>
          <w:tab w:val="left" w:pos="1134"/>
        </w:tabs>
        <w:suppressAutoHyphens/>
        <w:ind w:left="4535"/>
        <w:textAlignment w:val="center"/>
        <w:rPr>
          <w:color w:val="000000"/>
          <w:szCs w:val="24"/>
        </w:rPr>
      </w:pPr>
      <w:r>
        <w:rPr>
          <w:color w:val="000000"/>
          <w:szCs w:val="24"/>
        </w:rPr>
        <w:t>Radijo ryšio plėtros 790–862 MHz radijo dažnių juostoje plano</w:t>
      </w:r>
    </w:p>
    <w:p>
      <w:pPr>
        <w:tabs>
          <w:tab w:val="left" w:pos="1134"/>
        </w:tabs>
        <w:suppressAutoHyphens/>
        <w:ind w:left="4535"/>
        <w:textAlignment w:val="center"/>
        <w:rPr>
          <w:color w:val="000000"/>
          <w:szCs w:val="24"/>
        </w:rPr>
      </w:pPr>
      <w:r>
        <w:rPr>
          <w:color w:val="000000"/>
          <w:szCs w:val="24"/>
        </w:rPr>
        <w:t>1</w:t>
      </w:r>
      <w:r>
        <w:rPr>
          <w:color w:val="000000"/>
          <w:szCs w:val="24"/>
        </w:rPr>
        <w:t xml:space="preserve"> priedas</w:t>
      </w:r>
    </w:p>
    <w:p>
      <w:pPr>
        <w:tabs>
          <w:tab w:val="left" w:pos="1134"/>
        </w:tabs>
        <w:suppressAutoHyphens/>
        <w:ind w:firstLine="672"/>
        <w:jc w:val="center"/>
        <w:textAlignment w:val="center"/>
        <w:rPr>
          <w:color w:val="000000"/>
          <w:szCs w:val="24"/>
        </w:rPr>
      </w:pPr>
    </w:p>
    <w:p>
      <w:pPr>
        <w:tabs>
          <w:tab w:val="left" w:pos="1134"/>
        </w:tabs>
        <w:suppressAutoHyphens/>
        <w:jc w:val="center"/>
        <w:textAlignment w:val="center"/>
        <w:rPr>
          <w:b/>
          <w:caps/>
          <w:color w:val="000000"/>
          <w:szCs w:val="24"/>
        </w:rPr>
      </w:pPr>
      <w:r>
        <w:rPr>
          <w:b/>
          <w:caps/>
          <w:color w:val="000000"/>
          <w:szCs w:val="24"/>
        </w:rPr>
        <w:t>Antžeminių sistemų bazinių stočių suderinamumo su skaitmeninės antžeminės televizijos programų priėmimo įrenginiais, KAI NENAUDOJAMI antenų stiprintuvAI, kriterijai</w:t>
      </w:r>
    </w:p>
    <w:p>
      <w:pPr>
        <w:tabs>
          <w:tab w:val="left" w:pos="1134"/>
        </w:tabs>
        <w:suppressAutoHyphens/>
        <w:ind w:firstLine="672"/>
        <w:jc w:val="center"/>
        <w:textAlignment w:val="center"/>
        <w:rPr>
          <w:b/>
          <w:caps/>
          <w:color w:val="000000"/>
          <w:szCs w:val="24"/>
        </w:rPr>
      </w:pPr>
    </w:p>
    <w:p>
      <w:pPr>
        <w:tabs>
          <w:tab w:val="left" w:pos="709"/>
        </w:tabs>
        <w:suppressAutoHyphens/>
        <w:ind w:firstLine="567"/>
        <w:jc w:val="both"/>
        <w:textAlignment w:val="center"/>
        <w:rPr>
          <w:bCs/>
          <w:color w:val="000000"/>
          <w:szCs w:val="24"/>
        </w:rPr>
      </w:pPr>
      <w:r>
        <w:rPr>
          <w:bCs/>
          <w:color w:val="000000"/>
          <w:szCs w:val="24"/>
        </w:rPr>
        <w:t>1</w:t>
      </w:r>
      <w:r>
        <w:rPr>
          <w:bCs/>
          <w:color w:val="000000"/>
          <w:szCs w:val="24"/>
        </w:rPr>
        <w:t>. Didžiausias leistinas Antžeminių sistemų bazinių stočių ir skaitmeninės antžeminės televizijos (toliau – DVB-T) sistemos signalų skirtumas, dB:</w:t>
      </w:r>
    </w:p>
    <w:p>
      <w:pPr>
        <w:tabs>
          <w:tab w:val="left" w:pos="709"/>
        </w:tabs>
        <w:suppressAutoHyphens/>
        <w:ind w:firstLine="567"/>
        <w:jc w:val="both"/>
        <w:textAlignment w:val="center"/>
        <w:rPr>
          <w:b/>
          <w:caps/>
          <w:color w:val="000000"/>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8"/>
        <w:gridCol w:w="1015"/>
        <w:gridCol w:w="1099"/>
        <w:gridCol w:w="1102"/>
        <w:gridCol w:w="1102"/>
        <w:gridCol w:w="1102"/>
        <w:gridCol w:w="1102"/>
        <w:gridCol w:w="1102"/>
      </w:tblGrid>
      <w:tr>
        <w:trPr>
          <w:trHeight w:val="20"/>
        </w:trPr>
        <w:tc>
          <w:tcPr>
            <w:tcW w:w="2463" w:type="dxa"/>
            <w:gridSpan w:val="2"/>
            <w:vMerge w:val="restart"/>
          </w:tcPr>
          <w:p>
            <w:pPr>
              <w:jc w:val="center"/>
              <w:rPr>
                <w:sz w:val="22"/>
                <w:szCs w:val="22"/>
                <w:lang w:eastAsia="ar-SA"/>
              </w:rPr>
            </w:pPr>
            <w:r>
              <w:rPr>
                <w:sz w:val="22"/>
                <w:szCs w:val="22"/>
                <w:lang w:eastAsia="ar-SA"/>
              </w:rPr>
              <w:t>64-QAM 3/4</w:t>
            </w:r>
          </w:p>
        </w:tc>
        <w:tc>
          <w:tcPr>
            <w:tcW w:w="6609" w:type="dxa"/>
            <w:gridSpan w:val="6"/>
            <w:noWrap/>
          </w:tcPr>
          <w:p>
            <w:pPr>
              <w:jc w:val="center"/>
              <w:rPr>
                <w:bCs/>
                <w:sz w:val="22"/>
                <w:szCs w:val="22"/>
                <w:lang w:eastAsia="lt-LT"/>
              </w:rPr>
            </w:pPr>
            <w:r>
              <w:rPr>
                <w:bCs/>
                <w:sz w:val="22"/>
                <w:szCs w:val="22"/>
                <w:lang w:eastAsia="lt-LT"/>
              </w:rPr>
              <w:t>Antžeminių sistemų radijo ryšio kanalai</w:t>
            </w:r>
          </w:p>
        </w:tc>
      </w:tr>
      <w:tr>
        <w:trPr>
          <w:trHeight w:val="20"/>
        </w:trPr>
        <w:tc>
          <w:tcPr>
            <w:tcW w:w="2463" w:type="dxa"/>
            <w:gridSpan w:val="2"/>
            <w:vMerge/>
          </w:tcPr>
          <w:p>
            <w:pPr>
              <w:jc w:val="center"/>
              <w:rPr>
                <w:sz w:val="22"/>
                <w:szCs w:val="22"/>
                <w:lang w:eastAsia="lt-LT"/>
              </w:rPr>
            </w:pPr>
          </w:p>
        </w:tc>
        <w:tc>
          <w:tcPr>
            <w:tcW w:w="1099" w:type="dxa"/>
            <w:noWrap/>
          </w:tcPr>
          <w:p>
            <w:pPr>
              <w:jc w:val="center"/>
              <w:rPr>
                <w:bCs/>
                <w:sz w:val="22"/>
                <w:szCs w:val="22"/>
                <w:lang w:eastAsia="lt-LT"/>
              </w:rPr>
            </w:pPr>
            <w:r>
              <w:rPr>
                <w:bCs/>
                <w:sz w:val="22"/>
                <w:szCs w:val="22"/>
                <w:lang w:eastAsia="lt-LT"/>
              </w:rPr>
              <w:t>1</w:t>
            </w:r>
          </w:p>
        </w:tc>
        <w:tc>
          <w:tcPr>
            <w:tcW w:w="1102" w:type="dxa"/>
            <w:noWrap/>
          </w:tcPr>
          <w:p>
            <w:pPr>
              <w:jc w:val="center"/>
              <w:rPr>
                <w:bCs/>
                <w:sz w:val="22"/>
                <w:szCs w:val="22"/>
                <w:lang w:eastAsia="lt-LT"/>
              </w:rPr>
            </w:pPr>
            <w:r>
              <w:rPr>
                <w:bCs/>
                <w:sz w:val="22"/>
                <w:szCs w:val="22"/>
                <w:lang w:eastAsia="lt-LT"/>
              </w:rPr>
              <w:t>2</w:t>
            </w:r>
          </w:p>
        </w:tc>
        <w:tc>
          <w:tcPr>
            <w:tcW w:w="1102" w:type="dxa"/>
            <w:noWrap/>
          </w:tcPr>
          <w:p>
            <w:pPr>
              <w:jc w:val="center"/>
              <w:rPr>
                <w:bCs/>
                <w:sz w:val="22"/>
                <w:szCs w:val="22"/>
                <w:lang w:eastAsia="lt-LT"/>
              </w:rPr>
            </w:pPr>
            <w:r>
              <w:rPr>
                <w:bCs/>
                <w:sz w:val="22"/>
                <w:szCs w:val="22"/>
                <w:lang w:eastAsia="lt-LT"/>
              </w:rPr>
              <w:t>3</w:t>
            </w:r>
          </w:p>
        </w:tc>
        <w:tc>
          <w:tcPr>
            <w:tcW w:w="1102" w:type="dxa"/>
            <w:noWrap/>
          </w:tcPr>
          <w:p>
            <w:pPr>
              <w:jc w:val="center"/>
              <w:rPr>
                <w:bCs/>
                <w:sz w:val="22"/>
                <w:szCs w:val="22"/>
                <w:lang w:eastAsia="lt-LT"/>
              </w:rPr>
            </w:pPr>
            <w:r>
              <w:rPr>
                <w:bCs/>
                <w:sz w:val="22"/>
                <w:szCs w:val="22"/>
                <w:lang w:eastAsia="lt-LT"/>
              </w:rPr>
              <w:t>4</w:t>
            </w:r>
          </w:p>
        </w:tc>
        <w:tc>
          <w:tcPr>
            <w:tcW w:w="1102" w:type="dxa"/>
            <w:noWrap/>
          </w:tcPr>
          <w:p>
            <w:pPr>
              <w:jc w:val="center"/>
              <w:rPr>
                <w:bCs/>
                <w:sz w:val="22"/>
                <w:szCs w:val="22"/>
                <w:lang w:eastAsia="lt-LT"/>
              </w:rPr>
            </w:pPr>
            <w:r>
              <w:rPr>
                <w:bCs/>
                <w:sz w:val="22"/>
                <w:szCs w:val="22"/>
                <w:lang w:eastAsia="lt-LT"/>
              </w:rPr>
              <w:t>5</w:t>
            </w:r>
          </w:p>
        </w:tc>
        <w:tc>
          <w:tcPr>
            <w:tcW w:w="1102" w:type="dxa"/>
            <w:noWrap/>
          </w:tcPr>
          <w:p>
            <w:pPr>
              <w:jc w:val="center"/>
              <w:rPr>
                <w:bCs/>
                <w:sz w:val="22"/>
                <w:szCs w:val="22"/>
                <w:lang w:eastAsia="lt-LT"/>
              </w:rPr>
            </w:pPr>
            <w:r>
              <w:rPr>
                <w:bCs/>
                <w:sz w:val="22"/>
                <w:szCs w:val="22"/>
                <w:lang w:eastAsia="lt-LT"/>
              </w:rPr>
              <w:t>6</w:t>
            </w:r>
          </w:p>
        </w:tc>
      </w:tr>
      <w:tr>
        <w:trPr>
          <w:trHeight w:val="520"/>
        </w:trPr>
        <w:tc>
          <w:tcPr>
            <w:tcW w:w="1448" w:type="dxa"/>
            <w:vMerge w:val="restart"/>
            <w:vAlign w:val="center"/>
          </w:tcPr>
          <w:p>
            <w:pPr>
              <w:jc w:val="center"/>
              <w:rPr>
                <w:sz w:val="22"/>
                <w:szCs w:val="22"/>
                <w:lang w:eastAsia="lt-LT"/>
              </w:rPr>
            </w:pPr>
            <w:r>
              <w:rPr>
                <w:sz w:val="22"/>
                <w:szCs w:val="22"/>
                <w:lang w:eastAsia="lt-LT"/>
              </w:rPr>
              <w:t>Televizijos kanalai</w:t>
            </w:r>
          </w:p>
        </w:tc>
        <w:tc>
          <w:tcPr>
            <w:tcW w:w="1015" w:type="dxa"/>
            <w:noWrap/>
          </w:tcPr>
          <w:p>
            <w:pPr>
              <w:jc w:val="center"/>
              <w:rPr>
                <w:sz w:val="22"/>
                <w:szCs w:val="22"/>
                <w:lang w:eastAsia="lt-LT"/>
              </w:rPr>
            </w:pPr>
          </w:p>
        </w:tc>
        <w:tc>
          <w:tcPr>
            <w:tcW w:w="1099" w:type="dxa"/>
            <w:noWrap/>
          </w:tcPr>
          <w:p>
            <w:pPr>
              <w:jc w:val="center"/>
              <w:rPr>
                <w:sz w:val="22"/>
                <w:szCs w:val="22"/>
                <w:lang w:eastAsia="lt-LT"/>
              </w:rPr>
            </w:pPr>
            <w:r>
              <w:rPr>
                <w:sz w:val="22"/>
                <w:szCs w:val="22"/>
                <w:lang w:eastAsia="lt-LT"/>
              </w:rPr>
              <w:t>791–796 MHz</w:t>
            </w:r>
          </w:p>
        </w:tc>
        <w:tc>
          <w:tcPr>
            <w:tcW w:w="1102" w:type="dxa"/>
            <w:noWrap/>
          </w:tcPr>
          <w:p>
            <w:pPr>
              <w:jc w:val="center"/>
              <w:rPr>
                <w:sz w:val="22"/>
                <w:szCs w:val="22"/>
                <w:lang w:eastAsia="lt-LT"/>
              </w:rPr>
            </w:pPr>
            <w:r>
              <w:rPr>
                <w:sz w:val="22"/>
                <w:szCs w:val="22"/>
                <w:lang w:eastAsia="lt-LT"/>
              </w:rPr>
              <w:t>796–801 MHz</w:t>
            </w:r>
          </w:p>
        </w:tc>
        <w:tc>
          <w:tcPr>
            <w:tcW w:w="1102" w:type="dxa"/>
            <w:noWrap/>
          </w:tcPr>
          <w:p>
            <w:pPr>
              <w:jc w:val="center"/>
              <w:rPr>
                <w:sz w:val="22"/>
                <w:szCs w:val="22"/>
                <w:lang w:eastAsia="lt-LT"/>
              </w:rPr>
            </w:pPr>
            <w:r>
              <w:rPr>
                <w:sz w:val="22"/>
                <w:szCs w:val="22"/>
                <w:lang w:eastAsia="lt-LT"/>
              </w:rPr>
              <w:t>801–806 MHz</w:t>
            </w:r>
          </w:p>
        </w:tc>
        <w:tc>
          <w:tcPr>
            <w:tcW w:w="1102" w:type="dxa"/>
            <w:noWrap/>
          </w:tcPr>
          <w:p>
            <w:pPr>
              <w:jc w:val="center"/>
              <w:rPr>
                <w:sz w:val="22"/>
                <w:szCs w:val="22"/>
                <w:lang w:eastAsia="lt-LT"/>
              </w:rPr>
            </w:pPr>
            <w:r>
              <w:rPr>
                <w:sz w:val="22"/>
                <w:szCs w:val="22"/>
                <w:lang w:eastAsia="lt-LT"/>
              </w:rPr>
              <w:t>806–811 MHz</w:t>
            </w:r>
          </w:p>
        </w:tc>
        <w:tc>
          <w:tcPr>
            <w:tcW w:w="1102" w:type="dxa"/>
            <w:noWrap/>
          </w:tcPr>
          <w:p>
            <w:pPr>
              <w:jc w:val="center"/>
              <w:rPr>
                <w:sz w:val="22"/>
                <w:szCs w:val="22"/>
                <w:lang w:eastAsia="lt-LT"/>
              </w:rPr>
            </w:pPr>
            <w:r>
              <w:rPr>
                <w:sz w:val="22"/>
                <w:szCs w:val="22"/>
                <w:lang w:eastAsia="lt-LT"/>
              </w:rPr>
              <w:t>811–816 MHz</w:t>
            </w:r>
          </w:p>
        </w:tc>
        <w:tc>
          <w:tcPr>
            <w:tcW w:w="1102" w:type="dxa"/>
            <w:noWrap/>
          </w:tcPr>
          <w:p>
            <w:pPr>
              <w:jc w:val="center"/>
              <w:rPr>
                <w:sz w:val="22"/>
                <w:szCs w:val="22"/>
                <w:lang w:eastAsia="lt-LT"/>
              </w:rPr>
            </w:pPr>
            <w:r>
              <w:rPr>
                <w:sz w:val="22"/>
                <w:szCs w:val="22"/>
                <w:lang w:eastAsia="lt-LT"/>
              </w:rPr>
              <w:t>816–821 MHz</w:t>
            </w:r>
          </w:p>
        </w:tc>
      </w:tr>
      <w:tr>
        <w:trPr>
          <w:trHeight w:val="20"/>
        </w:trPr>
        <w:tc>
          <w:tcPr>
            <w:tcW w:w="1448" w:type="dxa"/>
            <w:vMerge/>
          </w:tcPr>
          <w:p>
            <w:pPr>
              <w:jc w:val="center"/>
              <w:rPr>
                <w:sz w:val="22"/>
                <w:szCs w:val="22"/>
                <w:lang w:eastAsia="lt-LT"/>
              </w:rPr>
            </w:pPr>
          </w:p>
        </w:tc>
        <w:tc>
          <w:tcPr>
            <w:tcW w:w="1015" w:type="dxa"/>
            <w:vAlign w:val="center"/>
          </w:tcPr>
          <w:p>
            <w:pPr>
              <w:jc w:val="center"/>
              <w:rPr>
                <w:sz w:val="22"/>
                <w:szCs w:val="22"/>
                <w:lang w:eastAsia="lt-LT"/>
              </w:rPr>
            </w:pPr>
            <w:r>
              <w:rPr>
                <w:sz w:val="22"/>
                <w:szCs w:val="22"/>
                <w:lang w:eastAsia="lt-LT"/>
              </w:rPr>
              <w:t>60</w:t>
            </w:r>
          </w:p>
        </w:tc>
        <w:tc>
          <w:tcPr>
            <w:tcW w:w="1099" w:type="dxa"/>
            <w:noWrap/>
            <w:vAlign w:val="center"/>
          </w:tcPr>
          <w:p>
            <w:pPr>
              <w:jc w:val="center"/>
              <w:rPr>
                <w:color w:val="000000"/>
                <w:sz w:val="22"/>
                <w:szCs w:val="22"/>
                <w:lang w:eastAsia="lt-LT"/>
              </w:rPr>
            </w:pPr>
            <w:r>
              <w:rPr>
                <w:color w:val="000000"/>
                <w:sz w:val="22"/>
                <w:szCs w:val="22"/>
                <w:lang w:eastAsia="lt-LT"/>
              </w:rPr>
              <w:t>29</w:t>
            </w:r>
          </w:p>
        </w:tc>
        <w:tc>
          <w:tcPr>
            <w:tcW w:w="1102" w:type="dxa"/>
            <w:noWrap/>
            <w:vAlign w:val="center"/>
          </w:tcPr>
          <w:p>
            <w:pPr>
              <w:jc w:val="center"/>
              <w:rPr>
                <w:color w:val="000000"/>
                <w:sz w:val="22"/>
                <w:szCs w:val="22"/>
                <w:lang w:eastAsia="lt-LT"/>
              </w:rPr>
            </w:pPr>
            <w:r>
              <w:rPr>
                <w:color w:val="000000"/>
                <w:sz w:val="22"/>
                <w:szCs w:val="22"/>
                <w:lang w:eastAsia="lt-LT"/>
              </w:rPr>
              <w:t>33</w:t>
            </w:r>
          </w:p>
        </w:tc>
        <w:tc>
          <w:tcPr>
            <w:tcW w:w="1102" w:type="dxa"/>
            <w:noWrap/>
            <w:vAlign w:val="center"/>
          </w:tcPr>
          <w:p>
            <w:pPr>
              <w:jc w:val="center"/>
              <w:rPr>
                <w:color w:val="000000"/>
                <w:sz w:val="22"/>
                <w:szCs w:val="22"/>
                <w:lang w:eastAsia="lt-LT"/>
              </w:rPr>
            </w:pPr>
            <w:r>
              <w:rPr>
                <w:color w:val="000000"/>
                <w:sz w:val="22"/>
                <w:szCs w:val="22"/>
                <w:lang w:eastAsia="lt-LT"/>
              </w:rPr>
              <w:t>35</w:t>
            </w:r>
          </w:p>
        </w:tc>
        <w:tc>
          <w:tcPr>
            <w:tcW w:w="1102" w:type="dxa"/>
            <w:noWrap/>
            <w:vAlign w:val="center"/>
          </w:tcPr>
          <w:p>
            <w:pPr>
              <w:jc w:val="center"/>
              <w:rPr>
                <w:color w:val="000000"/>
                <w:sz w:val="22"/>
                <w:szCs w:val="22"/>
                <w:lang w:eastAsia="lt-LT"/>
              </w:rPr>
            </w:pPr>
            <w:r>
              <w:rPr>
                <w:color w:val="000000"/>
                <w:sz w:val="22"/>
                <w:szCs w:val="22"/>
                <w:lang w:eastAsia="lt-LT"/>
              </w:rPr>
              <w:t>35</w:t>
            </w:r>
          </w:p>
        </w:tc>
        <w:tc>
          <w:tcPr>
            <w:tcW w:w="1102" w:type="dxa"/>
            <w:noWrap/>
            <w:vAlign w:val="center"/>
          </w:tcPr>
          <w:p>
            <w:pPr>
              <w:jc w:val="center"/>
              <w:rPr>
                <w:color w:val="000000"/>
                <w:sz w:val="22"/>
                <w:szCs w:val="22"/>
                <w:lang w:eastAsia="lt-LT"/>
              </w:rPr>
            </w:pPr>
            <w:r>
              <w:rPr>
                <w:color w:val="000000"/>
                <w:sz w:val="22"/>
                <w:szCs w:val="22"/>
                <w:lang w:eastAsia="lt-LT"/>
              </w:rPr>
              <w:t>40</w:t>
            </w:r>
          </w:p>
        </w:tc>
        <w:tc>
          <w:tcPr>
            <w:tcW w:w="1102" w:type="dxa"/>
            <w:noWrap/>
            <w:vAlign w:val="center"/>
          </w:tcPr>
          <w:p>
            <w:pPr>
              <w:jc w:val="center"/>
              <w:rPr>
                <w:color w:val="000000"/>
                <w:sz w:val="22"/>
                <w:szCs w:val="22"/>
                <w:lang w:eastAsia="lt-LT"/>
              </w:rPr>
            </w:pPr>
            <w:r>
              <w:rPr>
                <w:color w:val="000000"/>
                <w:sz w:val="22"/>
                <w:szCs w:val="22"/>
                <w:lang w:eastAsia="lt-LT"/>
              </w:rPr>
              <w:t>44</w:t>
            </w:r>
          </w:p>
        </w:tc>
      </w:tr>
      <w:tr>
        <w:trPr>
          <w:trHeight w:val="20"/>
        </w:trPr>
        <w:tc>
          <w:tcPr>
            <w:tcW w:w="1448" w:type="dxa"/>
            <w:vMerge/>
          </w:tcPr>
          <w:p>
            <w:pPr>
              <w:jc w:val="center"/>
              <w:rPr>
                <w:sz w:val="22"/>
                <w:szCs w:val="22"/>
                <w:lang w:eastAsia="lt-LT"/>
              </w:rPr>
            </w:pPr>
          </w:p>
        </w:tc>
        <w:tc>
          <w:tcPr>
            <w:tcW w:w="1015" w:type="dxa"/>
            <w:vAlign w:val="center"/>
          </w:tcPr>
          <w:p>
            <w:pPr>
              <w:jc w:val="center"/>
              <w:rPr>
                <w:sz w:val="22"/>
                <w:szCs w:val="22"/>
                <w:lang w:eastAsia="lt-LT"/>
              </w:rPr>
            </w:pPr>
            <w:r>
              <w:rPr>
                <w:sz w:val="22"/>
                <w:szCs w:val="22"/>
                <w:lang w:eastAsia="lt-LT"/>
              </w:rPr>
              <w:t>59</w:t>
            </w:r>
          </w:p>
        </w:tc>
        <w:tc>
          <w:tcPr>
            <w:tcW w:w="1099" w:type="dxa"/>
            <w:noWrap/>
            <w:vAlign w:val="center"/>
          </w:tcPr>
          <w:p>
            <w:pPr>
              <w:jc w:val="center"/>
              <w:rPr>
                <w:color w:val="000000"/>
                <w:sz w:val="22"/>
                <w:szCs w:val="22"/>
                <w:lang w:eastAsia="lt-LT"/>
              </w:rPr>
            </w:pPr>
            <w:r>
              <w:rPr>
                <w:color w:val="000000"/>
                <w:sz w:val="22"/>
                <w:szCs w:val="22"/>
                <w:lang w:eastAsia="lt-LT"/>
              </w:rPr>
              <w:t>35</w:t>
            </w:r>
          </w:p>
        </w:tc>
        <w:tc>
          <w:tcPr>
            <w:tcW w:w="1102" w:type="dxa"/>
            <w:noWrap/>
            <w:vAlign w:val="center"/>
          </w:tcPr>
          <w:p>
            <w:pPr>
              <w:jc w:val="center"/>
              <w:rPr>
                <w:color w:val="000000"/>
                <w:sz w:val="22"/>
                <w:szCs w:val="22"/>
                <w:lang w:eastAsia="lt-LT"/>
              </w:rPr>
            </w:pPr>
            <w:r>
              <w:rPr>
                <w:color w:val="000000"/>
                <w:sz w:val="22"/>
                <w:szCs w:val="22"/>
                <w:lang w:eastAsia="lt-LT"/>
              </w:rPr>
              <w:t>35</w:t>
            </w:r>
          </w:p>
        </w:tc>
        <w:tc>
          <w:tcPr>
            <w:tcW w:w="1102" w:type="dxa"/>
            <w:noWrap/>
            <w:vAlign w:val="center"/>
          </w:tcPr>
          <w:p>
            <w:pPr>
              <w:jc w:val="center"/>
              <w:rPr>
                <w:color w:val="000000"/>
                <w:sz w:val="22"/>
                <w:szCs w:val="22"/>
                <w:lang w:eastAsia="lt-LT"/>
              </w:rPr>
            </w:pPr>
            <w:r>
              <w:rPr>
                <w:color w:val="000000"/>
                <w:sz w:val="22"/>
                <w:szCs w:val="22"/>
                <w:lang w:eastAsia="lt-LT"/>
              </w:rPr>
              <w:t>37</w:t>
            </w:r>
          </w:p>
        </w:tc>
        <w:tc>
          <w:tcPr>
            <w:tcW w:w="1102" w:type="dxa"/>
            <w:noWrap/>
            <w:vAlign w:val="center"/>
          </w:tcPr>
          <w:p>
            <w:pPr>
              <w:jc w:val="center"/>
              <w:rPr>
                <w:color w:val="000000"/>
                <w:sz w:val="22"/>
                <w:szCs w:val="22"/>
                <w:lang w:eastAsia="lt-LT"/>
              </w:rPr>
            </w:pPr>
            <w:r>
              <w:rPr>
                <w:color w:val="000000"/>
                <w:sz w:val="22"/>
                <w:szCs w:val="22"/>
                <w:lang w:eastAsia="lt-LT"/>
              </w:rPr>
              <w:t>43</w:t>
            </w:r>
          </w:p>
        </w:tc>
        <w:tc>
          <w:tcPr>
            <w:tcW w:w="1102" w:type="dxa"/>
            <w:noWrap/>
            <w:vAlign w:val="center"/>
          </w:tcPr>
          <w:p>
            <w:pPr>
              <w:jc w:val="center"/>
              <w:rPr>
                <w:color w:val="000000"/>
                <w:sz w:val="22"/>
                <w:szCs w:val="22"/>
                <w:lang w:eastAsia="lt-LT"/>
              </w:rPr>
            </w:pPr>
            <w:r>
              <w:rPr>
                <w:color w:val="000000"/>
                <w:sz w:val="22"/>
                <w:szCs w:val="22"/>
                <w:lang w:eastAsia="lt-LT"/>
              </w:rPr>
              <w:t>45</w:t>
            </w:r>
          </w:p>
        </w:tc>
        <w:tc>
          <w:tcPr>
            <w:tcW w:w="1102" w:type="dxa"/>
            <w:noWrap/>
            <w:vAlign w:val="center"/>
          </w:tcPr>
          <w:p>
            <w:pPr>
              <w:jc w:val="center"/>
              <w:rPr>
                <w:color w:val="000000"/>
                <w:sz w:val="22"/>
                <w:szCs w:val="22"/>
                <w:lang w:eastAsia="lt-LT"/>
              </w:rPr>
            </w:pPr>
            <w:r>
              <w:rPr>
                <w:color w:val="000000"/>
                <w:sz w:val="22"/>
                <w:szCs w:val="22"/>
                <w:lang w:eastAsia="lt-LT"/>
              </w:rPr>
              <w:t>45</w:t>
            </w:r>
          </w:p>
        </w:tc>
      </w:tr>
      <w:tr>
        <w:trPr>
          <w:trHeight w:val="20"/>
        </w:trPr>
        <w:tc>
          <w:tcPr>
            <w:tcW w:w="1448" w:type="dxa"/>
            <w:vMerge/>
          </w:tcPr>
          <w:p>
            <w:pPr>
              <w:jc w:val="center"/>
              <w:rPr>
                <w:sz w:val="22"/>
                <w:szCs w:val="22"/>
                <w:lang w:eastAsia="lt-LT"/>
              </w:rPr>
            </w:pPr>
          </w:p>
        </w:tc>
        <w:tc>
          <w:tcPr>
            <w:tcW w:w="1015" w:type="dxa"/>
            <w:vAlign w:val="center"/>
          </w:tcPr>
          <w:p>
            <w:pPr>
              <w:jc w:val="center"/>
              <w:rPr>
                <w:sz w:val="22"/>
                <w:szCs w:val="22"/>
                <w:lang w:eastAsia="lt-LT"/>
              </w:rPr>
            </w:pPr>
            <w:r>
              <w:rPr>
                <w:sz w:val="22"/>
                <w:szCs w:val="22"/>
                <w:lang w:eastAsia="lt-LT"/>
              </w:rPr>
              <w:t>58</w:t>
            </w:r>
          </w:p>
        </w:tc>
        <w:tc>
          <w:tcPr>
            <w:tcW w:w="1099" w:type="dxa"/>
            <w:noWrap/>
            <w:vAlign w:val="center"/>
          </w:tcPr>
          <w:p>
            <w:pPr>
              <w:jc w:val="center"/>
              <w:rPr>
                <w:color w:val="000000"/>
                <w:sz w:val="22"/>
                <w:szCs w:val="22"/>
                <w:lang w:eastAsia="lt-LT"/>
              </w:rPr>
            </w:pPr>
            <w:r>
              <w:rPr>
                <w:color w:val="000000"/>
                <w:sz w:val="22"/>
                <w:szCs w:val="22"/>
                <w:lang w:eastAsia="lt-LT"/>
              </w:rPr>
              <w:t>35</w:t>
            </w:r>
          </w:p>
        </w:tc>
        <w:tc>
          <w:tcPr>
            <w:tcW w:w="1102" w:type="dxa"/>
            <w:noWrap/>
            <w:vAlign w:val="center"/>
          </w:tcPr>
          <w:p>
            <w:pPr>
              <w:jc w:val="center"/>
              <w:rPr>
                <w:color w:val="000000"/>
                <w:sz w:val="22"/>
                <w:szCs w:val="22"/>
                <w:lang w:eastAsia="lt-LT"/>
              </w:rPr>
            </w:pPr>
            <w:r>
              <w:rPr>
                <w:color w:val="000000"/>
                <w:sz w:val="22"/>
                <w:szCs w:val="22"/>
                <w:lang w:eastAsia="lt-LT"/>
              </w:rPr>
              <w:t>41</w:t>
            </w:r>
          </w:p>
        </w:tc>
        <w:tc>
          <w:tcPr>
            <w:tcW w:w="1102" w:type="dxa"/>
            <w:noWrap/>
            <w:vAlign w:val="center"/>
          </w:tcPr>
          <w:p>
            <w:pPr>
              <w:jc w:val="center"/>
              <w:rPr>
                <w:color w:val="000000"/>
                <w:sz w:val="22"/>
                <w:szCs w:val="22"/>
                <w:lang w:eastAsia="lt-LT"/>
              </w:rPr>
            </w:pPr>
            <w:r>
              <w:rPr>
                <w:color w:val="000000"/>
                <w:sz w:val="22"/>
                <w:szCs w:val="22"/>
                <w:lang w:eastAsia="lt-LT"/>
              </w:rPr>
              <w:t>44</w:t>
            </w:r>
          </w:p>
        </w:tc>
        <w:tc>
          <w:tcPr>
            <w:tcW w:w="1102" w:type="dxa"/>
            <w:noWrap/>
            <w:vAlign w:val="center"/>
          </w:tcPr>
          <w:p>
            <w:pPr>
              <w:jc w:val="center"/>
              <w:rPr>
                <w:color w:val="000000"/>
                <w:sz w:val="22"/>
                <w:szCs w:val="22"/>
                <w:lang w:eastAsia="lt-LT"/>
              </w:rPr>
            </w:pPr>
            <w:r>
              <w:rPr>
                <w:color w:val="000000"/>
                <w:sz w:val="22"/>
                <w:szCs w:val="22"/>
                <w:lang w:eastAsia="lt-LT"/>
              </w:rPr>
              <w:t>45</w:t>
            </w:r>
          </w:p>
        </w:tc>
        <w:tc>
          <w:tcPr>
            <w:tcW w:w="1102" w:type="dxa"/>
            <w:noWrap/>
            <w:vAlign w:val="center"/>
          </w:tcPr>
          <w:p>
            <w:pPr>
              <w:jc w:val="center"/>
              <w:rPr>
                <w:color w:val="000000"/>
                <w:sz w:val="22"/>
                <w:szCs w:val="22"/>
                <w:lang w:eastAsia="lt-LT"/>
              </w:rPr>
            </w:pPr>
            <w:r>
              <w:rPr>
                <w:color w:val="000000"/>
                <w:sz w:val="22"/>
                <w:szCs w:val="22"/>
                <w:lang w:eastAsia="lt-LT"/>
              </w:rPr>
              <w:t>46</w:t>
            </w:r>
          </w:p>
        </w:tc>
        <w:tc>
          <w:tcPr>
            <w:tcW w:w="1102" w:type="dxa"/>
            <w:noWrap/>
            <w:vAlign w:val="center"/>
          </w:tcPr>
          <w:p>
            <w:pPr>
              <w:jc w:val="center"/>
              <w:rPr>
                <w:color w:val="000000"/>
                <w:sz w:val="22"/>
                <w:szCs w:val="22"/>
                <w:lang w:eastAsia="lt-LT"/>
              </w:rPr>
            </w:pPr>
            <w:r>
              <w:rPr>
                <w:color w:val="000000"/>
                <w:sz w:val="22"/>
                <w:szCs w:val="22"/>
                <w:lang w:eastAsia="lt-LT"/>
              </w:rPr>
              <w:t>46</w:t>
            </w:r>
          </w:p>
        </w:tc>
      </w:tr>
      <w:tr>
        <w:trPr>
          <w:trHeight w:val="20"/>
        </w:trPr>
        <w:tc>
          <w:tcPr>
            <w:tcW w:w="1448" w:type="dxa"/>
            <w:vMerge/>
          </w:tcPr>
          <w:p>
            <w:pPr>
              <w:jc w:val="center"/>
              <w:rPr>
                <w:bCs/>
                <w:sz w:val="22"/>
                <w:szCs w:val="22"/>
                <w:lang w:eastAsia="lt-LT"/>
              </w:rPr>
            </w:pPr>
          </w:p>
        </w:tc>
        <w:tc>
          <w:tcPr>
            <w:tcW w:w="1015" w:type="dxa"/>
            <w:vAlign w:val="center"/>
          </w:tcPr>
          <w:p>
            <w:pPr>
              <w:jc w:val="center"/>
              <w:rPr>
                <w:bCs/>
                <w:sz w:val="22"/>
                <w:szCs w:val="22"/>
                <w:lang w:eastAsia="lt-LT"/>
              </w:rPr>
            </w:pPr>
            <w:r>
              <w:rPr>
                <w:bCs/>
                <w:sz w:val="22"/>
                <w:szCs w:val="22"/>
                <w:lang w:eastAsia="lt-LT"/>
              </w:rPr>
              <w:t>57</w:t>
            </w:r>
          </w:p>
        </w:tc>
        <w:tc>
          <w:tcPr>
            <w:tcW w:w="1099" w:type="dxa"/>
            <w:noWrap/>
            <w:vAlign w:val="center"/>
          </w:tcPr>
          <w:p>
            <w:pPr>
              <w:jc w:val="center"/>
              <w:rPr>
                <w:color w:val="000000"/>
                <w:sz w:val="22"/>
                <w:szCs w:val="22"/>
                <w:lang w:eastAsia="lt-LT"/>
              </w:rPr>
            </w:pPr>
            <w:r>
              <w:rPr>
                <w:color w:val="000000"/>
                <w:sz w:val="22"/>
                <w:szCs w:val="22"/>
                <w:lang w:eastAsia="lt-LT"/>
              </w:rPr>
              <w:t>44</w:t>
            </w:r>
          </w:p>
        </w:tc>
        <w:tc>
          <w:tcPr>
            <w:tcW w:w="1102" w:type="dxa"/>
            <w:noWrap/>
            <w:vAlign w:val="center"/>
          </w:tcPr>
          <w:p>
            <w:pPr>
              <w:jc w:val="center"/>
              <w:rPr>
                <w:color w:val="000000"/>
                <w:sz w:val="22"/>
                <w:szCs w:val="22"/>
                <w:lang w:eastAsia="lt-LT"/>
              </w:rPr>
            </w:pPr>
            <w:r>
              <w:rPr>
                <w:color w:val="000000"/>
                <w:sz w:val="22"/>
                <w:szCs w:val="22"/>
                <w:lang w:eastAsia="lt-LT"/>
              </w:rPr>
              <w:t>45</w:t>
            </w:r>
          </w:p>
        </w:tc>
        <w:tc>
          <w:tcPr>
            <w:tcW w:w="1102" w:type="dxa"/>
            <w:noWrap/>
            <w:vAlign w:val="center"/>
          </w:tcPr>
          <w:p>
            <w:pPr>
              <w:jc w:val="center"/>
              <w:rPr>
                <w:color w:val="000000"/>
                <w:sz w:val="22"/>
                <w:szCs w:val="22"/>
                <w:lang w:eastAsia="lt-LT"/>
              </w:rPr>
            </w:pPr>
            <w:r>
              <w:rPr>
                <w:color w:val="000000"/>
                <w:sz w:val="22"/>
                <w:szCs w:val="22"/>
                <w:lang w:eastAsia="lt-LT"/>
              </w:rPr>
              <w:t>45</w:t>
            </w:r>
          </w:p>
        </w:tc>
        <w:tc>
          <w:tcPr>
            <w:tcW w:w="1102" w:type="dxa"/>
            <w:noWrap/>
            <w:vAlign w:val="center"/>
          </w:tcPr>
          <w:p>
            <w:pPr>
              <w:jc w:val="center"/>
              <w:rPr>
                <w:color w:val="000000"/>
                <w:sz w:val="22"/>
                <w:szCs w:val="22"/>
                <w:lang w:eastAsia="lt-LT"/>
              </w:rPr>
            </w:pPr>
            <w:r>
              <w:rPr>
                <w:color w:val="000000"/>
                <w:sz w:val="22"/>
                <w:szCs w:val="22"/>
                <w:lang w:eastAsia="lt-LT"/>
              </w:rPr>
              <w:t>46</w:t>
            </w:r>
          </w:p>
        </w:tc>
        <w:tc>
          <w:tcPr>
            <w:tcW w:w="1102" w:type="dxa"/>
            <w:noWrap/>
            <w:vAlign w:val="center"/>
          </w:tcPr>
          <w:p>
            <w:pPr>
              <w:jc w:val="center"/>
              <w:rPr>
                <w:color w:val="000000"/>
                <w:sz w:val="22"/>
                <w:szCs w:val="22"/>
                <w:lang w:eastAsia="lt-LT"/>
              </w:rPr>
            </w:pPr>
            <w:r>
              <w:rPr>
                <w:color w:val="000000"/>
                <w:sz w:val="22"/>
                <w:szCs w:val="22"/>
                <w:lang w:eastAsia="lt-LT"/>
              </w:rPr>
              <w:t>46</w:t>
            </w:r>
          </w:p>
        </w:tc>
        <w:tc>
          <w:tcPr>
            <w:tcW w:w="1102" w:type="dxa"/>
            <w:noWrap/>
            <w:vAlign w:val="center"/>
          </w:tcPr>
          <w:p>
            <w:pPr>
              <w:jc w:val="center"/>
              <w:rPr>
                <w:color w:val="000000"/>
                <w:sz w:val="22"/>
                <w:szCs w:val="22"/>
                <w:lang w:eastAsia="lt-LT"/>
              </w:rPr>
            </w:pPr>
            <w:r>
              <w:rPr>
                <w:color w:val="000000"/>
                <w:sz w:val="22"/>
                <w:szCs w:val="22"/>
                <w:lang w:eastAsia="lt-LT"/>
              </w:rPr>
              <w:t>46</w:t>
            </w:r>
          </w:p>
        </w:tc>
      </w:tr>
      <w:tr>
        <w:trPr>
          <w:trHeight w:val="20"/>
        </w:trPr>
        <w:tc>
          <w:tcPr>
            <w:tcW w:w="1448" w:type="dxa"/>
            <w:vMerge/>
          </w:tcPr>
          <w:p>
            <w:pPr>
              <w:jc w:val="center"/>
              <w:rPr>
                <w:bCs/>
                <w:sz w:val="22"/>
                <w:szCs w:val="22"/>
                <w:lang w:eastAsia="lt-LT"/>
              </w:rPr>
            </w:pPr>
          </w:p>
        </w:tc>
        <w:tc>
          <w:tcPr>
            <w:tcW w:w="1015" w:type="dxa"/>
            <w:vAlign w:val="center"/>
          </w:tcPr>
          <w:p>
            <w:pPr>
              <w:jc w:val="center"/>
              <w:rPr>
                <w:bCs/>
                <w:sz w:val="22"/>
                <w:szCs w:val="22"/>
                <w:lang w:eastAsia="lt-LT"/>
              </w:rPr>
            </w:pPr>
            <w:r>
              <w:rPr>
                <w:bCs/>
                <w:sz w:val="22"/>
                <w:szCs w:val="22"/>
                <w:lang w:eastAsia="lt-LT"/>
              </w:rPr>
              <w:t>56</w:t>
            </w:r>
          </w:p>
        </w:tc>
        <w:tc>
          <w:tcPr>
            <w:tcW w:w="1099" w:type="dxa"/>
            <w:noWrap/>
            <w:vAlign w:val="center"/>
          </w:tcPr>
          <w:p>
            <w:pPr>
              <w:jc w:val="center"/>
              <w:rPr>
                <w:color w:val="000000"/>
                <w:sz w:val="22"/>
                <w:szCs w:val="22"/>
                <w:lang w:eastAsia="lt-LT"/>
              </w:rPr>
            </w:pPr>
            <w:r>
              <w:rPr>
                <w:color w:val="000000"/>
                <w:sz w:val="22"/>
                <w:szCs w:val="22"/>
                <w:lang w:eastAsia="lt-LT"/>
              </w:rPr>
              <w:t>45</w:t>
            </w:r>
          </w:p>
        </w:tc>
        <w:tc>
          <w:tcPr>
            <w:tcW w:w="1102" w:type="dxa"/>
            <w:noWrap/>
            <w:vAlign w:val="center"/>
          </w:tcPr>
          <w:p>
            <w:pPr>
              <w:jc w:val="center"/>
              <w:rPr>
                <w:color w:val="000000"/>
                <w:sz w:val="22"/>
                <w:szCs w:val="22"/>
                <w:lang w:eastAsia="lt-LT"/>
              </w:rPr>
            </w:pPr>
            <w:r>
              <w:rPr>
                <w:color w:val="000000"/>
                <w:sz w:val="22"/>
                <w:szCs w:val="22"/>
                <w:lang w:eastAsia="lt-LT"/>
              </w:rPr>
              <w:t>46</w:t>
            </w:r>
          </w:p>
        </w:tc>
        <w:tc>
          <w:tcPr>
            <w:tcW w:w="1102" w:type="dxa"/>
            <w:noWrap/>
            <w:vAlign w:val="center"/>
          </w:tcPr>
          <w:p>
            <w:pPr>
              <w:jc w:val="center"/>
              <w:rPr>
                <w:color w:val="000000"/>
                <w:sz w:val="22"/>
                <w:szCs w:val="22"/>
                <w:lang w:eastAsia="lt-LT"/>
              </w:rPr>
            </w:pPr>
            <w:r>
              <w:rPr>
                <w:color w:val="000000"/>
                <w:sz w:val="22"/>
                <w:szCs w:val="22"/>
                <w:lang w:eastAsia="lt-LT"/>
              </w:rPr>
              <w:t>45</w:t>
            </w:r>
          </w:p>
        </w:tc>
        <w:tc>
          <w:tcPr>
            <w:tcW w:w="1102" w:type="dxa"/>
            <w:noWrap/>
            <w:vAlign w:val="center"/>
          </w:tcPr>
          <w:p>
            <w:pPr>
              <w:jc w:val="center"/>
              <w:rPr>
                <w:color w:val="000000"/>
                <w:sz w:val="22"/>
                <w:szCs w:val="22"/>
                <w:lang w:eastAsia="lt-LT"/>
              </w:rPr>
            </w:pPr>
            <w:r>
              <w:rPr>
                <w:color w:val="000000"/>
                <w:sz w:val="22"/>
                <w:szCs w:val="22"/>
                <w:lang w:eastAsia="lt-LT"/>
              </w:rPr>
              <w:t>46</w:t>
            </w:r>
          </w:p>
        </w:tc>
        <w:tc>
          <w:tcPr>
            <w:tcW w:w="1102" w:type="dxa"/>
            <w:noWrap/>
            <w:vAlign w:val="center"/>
          </w:tcPr>
          <w:p>
            <w:pPr>
              <w:jc w:val="center"/>
              <w:rPr>
                <w:color w:val="000000"/>
                <w:sz w:val="22"/>
                <w:szCs w:val="22"/>
                <w:lang w:eastAsia="lt-LT"/>
              </w:rPr>
            </w:pPr>
            <w:r>
              <w:rPr>
                <w:color w:val="000000"/>
                <w:sz w:val="22"/>
                <w:szCs w:val="22"/>
                <w:lang w:eastAsia="lt-LT"/>
              </w:rPr>
              <w:t>47</w:t>
            </w:r>
          </w:p>
        </w:tc>
        <w:tc>
          <w:tcPr>
            <w:tcW w:w="1102" w:type="dxa"/>
            <w:noWrap/>
            <w:vAlign w:val="center"/>
          </w:tcPr>
          <w:p>
            <w:pPr>
              <w:jc w:val="center"/>
              <w:rPr>
                <w:color w:val="000000"/>
                <w:sz w:val="22"/>
                <w:szCs w:val="22"/>
                <w:lang w:eastAsia="lt-LT"/>
              </w:rPr>
            </w:pPr>
            <w:r>
              <w:rPr>
                <w:color w:val="000000"/>
                <w:sz w:val="22"/>
                <w:szCs w:val="22"/>
                <w:lang w:eastAsia="lt-LT"/>
              </w:rPr>
              <w:t>46</w:t>
            </w:r>
          </w:p>
        </w:tc>
      </w:tr>
      <w:tr>
        <w:trPr>
          <w:trHeight w:val="20"/>
        </w:trPr>
        <w:tc>
          <w:tcPr>
            <w:tcW w:w="1448" w:type="dxa"/>
            <w:vMerge/>
          </w:tcPr>
          <w:p>
            <w:pPr>
              <w:jc w:val="center"/>
              <w:rPr>
                <w:bCs/>
                <w:sz w:val="22"/>
                <w:szCs w:val="22"/>
                <w:lang w:eastAsia="lt-LT"/>
              </w:rPr>
            </w:pPr>
          </w:p>
        </w:tc>
        <w:tc>
          <w:tcPr>
            <w:tcW w:w="1015" w:type="dxa"/>
            <w:vAlign w:val="center"/>
          </w:tcPr>
          <w:p>
            <w:pPr>
              <w:jc w:val="center"/>
              <w:rPr>
                <w:bCs/>
                <w:sz w:val="22"/>
                <w:szCs w:val="22"/>
                <w:lang w:eastAsia="lt-LT"/>
              </w:rPr>
            </w:pPr>
            <w:r>
              <w:rPr>
                <w:bCs/>
                <w:sz w:val="22"/>
                <w:szCs w:val="22"/>
                <w:lang w:eastAsia="lt-LT"/>
              </w:rPr>
              <w:t>55</w:t>
            </w:r>
          </w:p>
        </w:tc>
        <w:tc>
          <w:tcPr>
            <w:tcW w:w="1099" w:type="dxa"/>
            <w:noWrap/>
            <w:vAlign w:val="center"/>
          </w:tcPr>
          <w:p>
            <w:pPr>
              <w:jc w:val="center"/>
              <w:rPr>
                <w:color w:val="000000"/>
                <w:sz w:val="22"/>
                <w:szCs w:val="22"/>
                <w:lang w:eastAsia="lt-LT"/>
              </w:rPr>
            </w:pPr>
            <w:r>
              <w:rPr>
                <w:color w:val="000000"/>
                <w:sz w:val="22"/>
                <w:szCs w:val="22"/>
                <w:lang w:eastAsia="lt-LT"/>
              </w:rPr>
              <w:t>46</w:t>
            </w:r>
          </w:p>
        </w:tc>
        <w:tc>
          <w:tcPr>
            <w:tcW w:w="1102" w:type="dxa"/>
            <w:noWrap/>
            <w:vAlign w:val="center"/>
          </w:tcPr>
          <w:p>
            <w:pPr>
              <w:jc w:val="center"/>
              <w:rPr>
                <w:color w:val="000000"/>
                <w:sz w:val="22"/>
                <w:szCs w:val="22"/>
                <w:lang w:eastAsia="lt-LT"/>
              </w:rPr>
            </w:pPr>
            <w:r>
              <w:rPr>
                <w:color w:val="000000"/>
                <w:sz w:val="22"/>
                <w:szCs w:val="22"/>
                <w:lang w:eastAsia="lt-LT"/>
              </w:rPr>
              <w:t>46</w:t>
            </w:r>
          </w:p>
        </w:tc>
        <w:tc>
          <w:tcPr>
            <w:tcW w:w="1102" w:type="dxa"/>
            <w:noWrap/>
            <w:vAlign w:val="center"/>
          </w:tcPr>
          <w:p>
            <w:pPr>
              <w:jc w:val="center"/>
              <w:rPr>
                <w:color w:val="000000"/>
                <w:sz w:val="22"/>
                <w:szCs w:val="22"/>
                <w:lang w:eastAsia="lt-LT"/>
              </w:rPr>
            </w:pPr>
            <w:r>
              <w:rPr>
                <w:color w:val="000000"/>
                <w:sz w:val="22"/>
                <w:szCs w:val="22"/>
                <w:lang w:eastAsia="lt-LT"/>
              </w:rPr>
              <w:t>46</w:t>
            </w:r>
          </w:p>
        </w:tc>
        <w:tc>
          <w:tcPr>
            <w:tcW w:w="1102" w:type="dxa"/>
            <w:noWrap/>
            <w:vAlign w:val="center"/>
          </w:tcPr>
          <w:p>
            <w:pPr>
              <w:jc w:val="center"/>
              <w:rPr>
                <w:color w:val="000000"/>
                <w:sz w:val="22"/>
                <w:szCs w:val="22"/>
                <w:lang w:eastAsia="lt-LT"/>
              </w:rPr>
            </w:pPr>
            <w:r>
              <w:rPr>
                <w:color w:val="000000"/>
                <w:sz w:val="22"/>
                <w:szCs w:val="22"/>
                <w:lang w:eastAsia="lt-LT"/>
              </w:rPr>
              <w:t>47</w:t>
            </w:r>
          </w:p>
        </w:tc>
        <w:tc>
          <w:tcPr>
            <w:tcW w:w="1102" w:type="dxa"/>
            <w:noWrap/>
            <w:vAlign w:val="center"/>
          </w:tcPr>
          <w:p>
            <w:pPr>
              <w:jc w:val="center"/>
              <w:rPr>
                <w:color w:val="000000"/>
                <w:sz w:val="22"/>
                <w:szCs w:val="22"/>
                <w:lang w:eastAsia="lt-LT"/>
              </w:rPr>
            </w:pPr>
            <w:r>
              <w:rPr>
                <w:color w:val="000000"/>
                <w:sz w:val="22"/>
                <w:szCs w:val="22"/>
                <w:lang w:eastAsia="lt-LT"/>
              </w:rPr>
              <w:t>44</w:t>
            </w:r>
          </w:p>
        </w:tc>
        <w:tc>
          <w:tcPr>
            <w:tcW w:w="1102" w:type="dxa"/>
            <w:noWrap/>
            <w:vAlign w:val="center"/>
          </w:tcPr>
          <w:p>
            <w:pPr>
              <w:jc w:val="center"/>
              <w:rPr>
                <w:color w:val="000000"/>
                <w:sz w:val="22"/>
                <w:szCs w:val="22"/>
                <w:lang w:eastAsia="lt-LT"/>
              </w:rPr>
            </w:pPr>
            <w:r>
              <w:rPr>
                <w:color w:val="000000"/>
                <w:sz w:val="22"/>
                <w:szCs w:val="22"/>
                <w:lang w:eastAsia="lt-LT"/>
              </w:rPr>
              <w:t>42</w:t>
            </w:r>
          </w:p>
        </w:tc>
      </w:tr>
      <w:tr>
        <w:trPr>
          <w:trHeight w:val="20"/>
        </w:trPr>
        <w:tc>
          <w:tcPr>
            <w:tcW w:w="1448" w:type="dxa"/>
            <w:vMerge/>
          </w:tcPr>
          <w:p>
            <w:pPr>
              <w:jc w:val="center"/>
              <w:rPr>
                <w:bCs/>
                <w:sz w:val="22"/>
                <w:szCs w:val="22"/>
                <w:lang w:eastAsia="lt-LT"/>
              </w:rPr>
            </w:pPr>
          </w:p>
        </w:tc>
        <w:tc>
          <w:tcPr>
            <w:tcW w:w="1015" w:type="dxa"/>
            <w:vAlign w:val="center"/>
          </w:tcPr>
          <w:p>
            <w:pPr>
              <w:jc w:val="center"/>
              <w:rPr>
                <w:bCs/>
                <w:sz w:val="22"/>
                <w:szCs w:val="22"/>
                <w:lang w:eastAsia="lt-LT"/>
              </w:rPr>
            </w:pPr>
            <w:r>
              <w:rPr>
                <w:bCs/>
                <w:sz w:val="22"/>
                <w:szCs w:val="22"/>
                <w:lang w:eastAsia="lt-LT"/>
              </w:rPr>
              <w:t>54</w:t>
            </w:r>
          </w:p>
        </w:tc>
        <w:tc>
          <w:tcPr>
            <w:tcW w:w="1099" w:type="dxa"/>
            <w:noWrap/>
            <w:vAlign w:val="center"/>
          </w:tcPr>
          <w:p>
            <w:pPr>
              <w:jc w:val="center"/>
              <w:rPr>
                <w:color w:val="000000"/>
                <w:sz w:val="22"/>
                <w:szCs w:val="22"/>
                <w:lang w:eastAsia="lt-LT"/>
              </w:rPr>
            </w:pPr>
            <w:r>
              <w:rPr>
                <w:color w:val="000000"/>
                <w:sz w:val="22"/>
                <w:szCs w:val="22"/>
                <w:lang w:eastAsia="lt-LT"/>
              </w:rPr>
              <w:t>46</w:t>
            </w:r>
          </w:p>
        </w:tc>
        <w:tc>
          <w:tcPr>
            <w:tcW w:w="1102" w:type="dxa"/>
            <w:noWrap/>
            <w:vAlign w:val="center"/>
          </w:tcPr>
          <w:p>
            <w:pPr>
              <w:jc w:val="center"/>
              <w:rPr>
                <w:color w:val="000000"/>
                <w:sz w:val="22"/>
                <w:szCs w:val="22"/>
                <w:lang w:eastAsia="lt-LT"/>
              </w:rPr>
            </w:pPr>
            <w:r>
              <w:rPr>
                <w:color w:val="000000"/>
                <w:sz w:val="22"/>
                <w:szCs w:val="22"/>
                <w:lang w:eastAsia="lt-LT"/>
              </w:rPr>
              <w:t>47</w:t>
            </w:r>
          </w:p>
        </w:tc>
        <w:tc>
          <w:tcPr>
            <w:tcW w:w="1102" w:type="dxa"/>
            <w:noWrap/>
            <w:vAlign w:val="center"/>
          </w:tcPr>
          <w:p>
            <w:pPr>
              <w:jc w:val="center"/>
              <w:rPr>
                <w:color w:val="000000"/>
                <w:sz w:val="22"/>
                <w:szCs w:val="22"/>
                <w:lang w:eastAsia="lt-LT"/>
              </w:rPr>
            </w:pPr>
            <w:r>
              <w:rPr>
                <w:color w:val="000000"/>
                <w:sz w:val="22"/>
                <w:szCs w:val="22"/>
                <w:lang w:eastAsia="lt-LT"/>
              </w:rPr>
              <w:t>46</w:t>
            </w:r>
          </w:p>
        </w:tc>
        <w:tc>
          <w:tcPr>
            <w:tcW w:w="1102" w:type="dxa"/>
            <w:noWrap/>
            <w:vAlign w:val="center"/>
          </w:tcPr>
          <w:p>
            <w:pPr>
              <w:jc w:val="center"/>
              <w:rPr>
                <w:color w:val="000000"/>
                <w:sz w:val="22"/>
                <w:szCs w:val="22"/>
                <w:lang w:eastAsia="lt-LT"/>
              </w:rPr>
            </w:pPr>
            <w:r>
              <w:rPr>
                <w:color w:val="000000"/>
                <w:sz w:val="22"/>
                <w:szCs w:val="22"/>
                <w:lang w:eastAsia="lt-LT"/>
              </w:rPr>
              <w:t>42</w:t>
            </w:r>
          </w:p>
        </w:tc>
        <w:tc>
          <w:tcPr>
            <w:tcW w:w="1102" w:type="dxa"/>
            <w:noWrap/>
            <w:vAlign w:val="center"/>
          </w:tcPr>
          <w:p>
            <w:pPr>
              <w:jc w:val="center"/>
              <w:rPr>
                <w:color w:val="000000"/>
                <w:sz w:val="22"/>
                <w:szCs w:val="22"/>
                <w:lang w:eastAsia="lt-LT"/>
              </w:rPr>
            </w:pPr>
            <w:r>
              <w:rPr>
                <w:color w:val="000000"/>
                <w:sz w:val="22"/>
                <w:szCs w:val="22"/>
                <w:lang w:eastAsia="lt-LT"/>
              </w:rPr>
              <w:t>44</w:t>
            </w:r>
          </w:p>
        </w:tc>
        <w:tc>
          <w:tcPr>
            <w:tcW w:w="1102" w:type="dxa"/>
            <w:noWrap/>
            <w:vAlign w:val="center"/>
          </w:tcPr>
          <w:p>
            <w:pPr>
              <w:jc w:val="center"/>
              <w:rPr>
                <w:color w:val="000000"/>
                <w:sz w:val="22"/>
                <w:szCs w:val="22"/>
                <w:lang w:eastAsia="lt-LT"/>
              </w:rPr>
            </w:pPr>
            <w:r>
              <w:rPr>
                <w:color w:val="000000"/>
                <w:sz w:val="22"/>
                <w:szCs w:val="22"/>
                <w:lang w:eastAsia="lt-LT"/>
              </w:rPr>
              <w:t>47</w:t>
            </w:r>
          </w:p>
        </w:tc>
      </w:tr>
      <w:tr>
        <w:trPr>
          <w:trHeight w:val="20"/>
        </w:trPr>
        <w:tc>
          <w:tcPr>
            <w:tcW w:w="1448" w:type="dxa"/>
            <w:vMerge/>
          </w:tcPr>
          <w:p>
            <w:pPr>
              <w:jc w:val="center"/>
              <w:rPr>
                <w:bCs/>
                <w:sz w:val="22"/>
                <w:szCs w:val="22"/>
                <w:lang w:eastAsia="lt-LT"/>
              </w:rPr>
            </w:pPr>
          </w:p>
        </w:tc>
        <w:tc>
          <w:tcPr>
            <w:tcW w:w="1015" w:type="dxa"/>
            <w:vAlign w:val="center"/>
          </w:tcPr>
          <w:p>
            <w:pPr>
              <w:jc w:val="center"/>
              <w:rPr>
                <w:bCs/>
                <w:sz w:val="22"/>
                <w:szCs w:val="22"/>
                <w:lang w:eastAsia="lt-LT"/>
              </w:rPr>
            </w:pPr>
            <w:r>
              <w:rPr>
                <w:bCs/>
                <w:sz w:val="22"/>
                <w:szCs w:val="22"/>
                <w:lang w:eastAsia="lt-LT"/>
              </w:rPr>
              <w:t>53</w:t>
            </w:r>
          </w:p>
        </w:tc>
        <w:tc>
          <w:tcPr>
            <w:tcW w:w="1099" w:type="dxa"/>
            <w:noWrap/>
            <w:vAlign w:val="center"/>
          </w:tcPr>
          <w:p>
            <w:pPr>
              <w:jc w:val="center"/>
              <w:rPr>
                <w:color w:val="000000"/>
                <w:sz w:val="22"/>
                <w:szCs w:val="22"/>
                <w:lang w:eastAsia="lt-LT"/>
              </w:rPr>
            </w:pPr>
            <w:r>
              <w:rPr>
                <w:color w:val="000000"/>
                <w:sz w:val="22"/>
                <w:szCs w:val="22"/>
                <w:lang w:eastAsia="lt-LT"/>
              </w:rPr>
              <w:t>47</w:t>
            </w:r>
          </w:p>
        </w:tc>
        <w:tc>
          <w:tcPr>
            <w:tcW w:w="1102" w:type="dxa"/>
            <w:noWrap/>
            <w:vAlign w:val="center"/>
          </w:tcPr>
          <w:p>
            <w:pPr>
              <w:jc w:val="center"/>
              <w:rPr>
                <w:color w:val="000000"/>
                <w:sz w:val="22"/>
                <w:szCs w:val="22"/>
                <w:lang w:eastAsia="lt-LT"/>
              </w:rPr>
            </w:pPr>
            <w:r>
              <w:rPr>
                <w:color w:val="000000"/>
                <w:sz w:val="22"/>
                <w:szCs w:val="22"/>
                <w:lang w:eastAsia="lt-LT"/>
              </w:rPr>
              <w:t>43</w:t>
            </w:r>
          </w:p>
        </w:tc>
        <w:tc>
          <w:tcPr>
            <w:tcW w:w="1102" w:type="dxa"/>
            <w:noWrap/>
            <w:vAlign w:val="center"/>
          </w:tcPr>
          <w:p>
            <w:pPr>
              <w:jc w:val="center"/>
              <w:rPr>
                <w:color w:val="000000"/>
                <w:sz w:val="22"/>
                <w:szCs w:val="22"/>
                <w:lang w:eastAsia="lt-LT"/>
              </w:rPr>
            </w:pPr>
            <w:r>
              <w:rPr>
                <w:color w:val="000000"/>
                <w:sz w:val="22"/>
                <w:szCs w:val="22"/>
                <w:lang w:eastAsia="lt-LT"/>
              </w:rPr>
              <w:t>46</w:t>
            </w:r>
          </w:p>
        </w:tc>
        <w:tc>
          <w:tcPr>
            <w:tcW w:w="1102" w:type="dxa"/>
            <w:noWrap/>
            <w:vAlign w:val="center"/>
          </w:tcPr>
          <w:p>
            <w:pPr>
              <w:jc w:val="center"/>
              <w:rPr>
                <w:color w:val="000000"/>
                <w:sz w:val="22"/>
                <w:szCs w:val="22"/>
                <w:lang w:eastAsia="lt-LT"/>
              </w:rPr>
            </w:pPr>
            <w:r>
              <w:rPr>
                <w:color w:val="000000"/>
                <w:sz w:val="22"/>
                <w:szCs w:val="22"/>
                <w:lang w:eastAsia="lt-LT"/>
              </w:rPr>
              <w:t>46</w:t>
            </w:r>
          </w:p>
        </w:tc>
        <w:tc>
          <w:tcPr>
            <w:tcW w:w="1102" w:type="dxa"/>
            <w:noWrap/>
            <w:vAlign w:val="center"/>
          </w:tcPr>
          <w:p>
            <w:pPr>
              <w:jc w:val="center"/>
              <w:rPr>
                <w:color w:val="000000"/>
                <w:sz w:val="22"/>
                <w:szCs w:val="22"/>
                <w:lang w:eastAsia="lt-LT"/>
              </w:rPr>
            </w:pPr>
            <w:r>
              <w:rPr>
                <w:color w:val="000000"/>
                <w:sz w:val="22"/>
                <w:szCs w:val="22"/>
                <w:lang w:eastAsia="lt-LT"/>
              </w:rPr>
              <w:t>47</w:t>
            </w:r>
          </w:p>
        </w:tc>
        <w:tc>
          <w:tcPr>
            <w:tcW w:w="1102" w:type="dxa"/>
            <w:noWrap/>
            <w:vAlign w:val="center"/>
          </w:tcPr>
          <w:p>
            <w:pPr>
              <w:jc w:val="center"/>
              <w:rPr>
                <w:color w:val="000000"/>
                <w:sz w:val="22"/>
                <w:szCs w:val="22"/>
                <w:lang w:eastAsia="lt-LT"/>
              </w:rPr>
            </w:pPr>
            <w:r>
              <w:rPr>
                <w:color w:val="000000"/>
                <w:sz w:val="22"/>
                <w:szCs w:val="22"/>
                <w:lang w:eastAsia="lt-LT"/>
              </w:rPr>
              <w:t>47</w:t>
            </w:r>
          </w:p>
        </w:tc>
      </w:tr>
      <w:tr>
        <w:trPr>
          <w:trHeight w:val="20"/>
        </w:trPr>
        <w:tc>
          <w:tcPr>
            <w:tcW w:w="1448" w:type="dxa"/>
            <w:vMerge/>
          </w:tcPr>
          <w:p>
            <w:pPr>
              <w:jc w:val="center"/>
              <w:rPr>
                <w:bCs/>
                <w:sz w:val="22"/>
                <w:szCs w:val="22"/>
                <w:lang w:eastAsia="lt-LT"/>
              </w:rPr>
            </w:pPr>
          </w:p>
        </w:tc>
        <w:tc>
          <w:tcPr>
            <w:tcW w:w="1015" w:type="dxa"/>
            <w:vAlign w:val="center"/>
          </w:tcPr>
          <w:p>
            <w:pPr>
              <w:jc w:val="center"/>
              <w:rPr>
                <w:bCs/>
                <w:sz w:val="22"/>
                <w:szCs w:val="22"/>
                <w:lang w:eastAsia="lt-LT"/>
              </w:rPr>
            </w:pPr>
            <w:r>
              <w:rPr>
                <w:bCs/>
                <w:sz w:val="22"/>
                <w:szCs w:val="22"/>
                <w:lang w:eastAsia="lt-LT"/>
              </w:rPr>
              <w:t>21–52</w:t>
            </w:r>
          </w:p>
        </w:tc>
        <w:tc>
          <w:tcPr>
            <w:tcW w:w="1099" w:type="dxa"/>
            <w:noWrap/>
            <w:vAlign w:val="center"/>
          </w:tcPr>
          <w:p>
            <w:pPr>
              <w:jc w:val="center"/>
              <w:rPr>
                <w:color w:val="000000"/>
                <w:sz w:val="22"/>
                <w:szCs w:val="22"/>
                <w:lang w:eastAsia="lt-LT"/>
              </w:rPr>
            </w:pPr>
            <w:r>
              <w:rPr>
                <w:color w:val="000000"/>
                <w:sz w:val="22"/>
                <w:szCs w:val="22"/>
                <w:lang w:eastAsia="lt-LT"/>
              </w:rPr>
              <w:t>41</w:t>
            </w:r>
          </w:p>
        </w:tc>
        <w:tc>
          <w:tcPr>
            <w:tcW w:w="1102" w:type="dxa"/>
            <w:noWrap/>
            <w:vAlign w:val="center"/>
          </w:tcPr>
          <w:p>
            <w:pPr>
              <w:jc w:val="center"/>
              <w:rPr>
                <w:color w:val="000000"/>
                <w:sz w:val="22"/>
                <w:szCs w:val="22"/>
                <w:lang w:eastAsia="lt-LT"/>
              </w:rPr>
            </w:pPr>
            <w:r>
              <w:rPr>
                <w:color w:val="000000"/>
                <w:sz w:val="22"/>
                <w:szCs w:val="22"/>
                <w:lang w:eastAsia="lt-LT"/>
              </w:rPr>
              <w:t>45</w:t>
            </w:r>
          </w:p>
        </w:tc>
        <w:tc>
          <w:tcPr>
            <w:tcW w:w="1102" w:type="dxa"/>
            <w:noWrap/>
            <w:vAlign w:val="center"/>
          </w:tcPr>
          <w:p>
            <w:pPr>
              <w:jc w:val="center"/>
              <w:rPr>
                <w:color w:val="000000"/>
                <w:sz w:val="22"/>
                <w:szCs w:val="22"/>
                <w:lang w:eastAsia="lt-LT"/>
              </w:rPr>
            </w:pPr>
            <w:r>
              <w:rPr>
                <w:color w:val="000000"/>
                <w:sz w:val="22"/>
                <w:szCs w:val="22"/>
                <w:lang w:eastAsia="lt-LT"/>
              </w:rPr>
              <w:t>47</w:t>
            </w:r>
          </w:p>
        </w:tc>
        <w:tc>
          <w:tcPr>
            <w:tcW w:w="1102" w:type="dxa"/>
            <w:noWrap/>
            <w:vAlign w:val="center"/>
          </w:tcPr>
          <w:p>
            <w:pPr>
              <w:jc w:val="center"/>
              <w:rPr>
                <w:color w:val="000000"/>
                <w:sz w:val="22"/>
                <w:szCs w:val="22"/>
                <w:lang w:eastAsia="lt-LT"/>
              </w:rPr>
            </w:pPr>
            <w:r>
              <w:rPr>
                <w:color w:val="000000"/>
                <w:sz w:val="22"/>
                <w:szCs w:val="22"/>
                <w:lang w:eastAsia="lt-LT"/>
              </w:rPr>
              <w:t>47</w:t>
            </w:r>
          </w:p>
        </w:tc>
        <w:tc>
          <w:tcPr>
            <w:tcW w:w="1102" w:type="dxa"/>
            <w:noWrap/>
            <w:vAlign w:val="center"/>
          </w:tcPr>
          <w:p>
            <w:pPr>
              <w:jc w:val="center"/>
              <w:rPr>
                <w:color w:val="000000"/>
                <w:sz w:val="22"/>
                <w:szCs w:val="22"/>
                <w:lang w:eastAsia="lt-LT"/>
              </w:rPr>
            </w:pPr>
            <w:r>
              <w:rPr>
                <w:color w:val="000000"/>
                <w:sz w:val="22"/>
                <w:szCs w:val="22"/>
                <w:lang w:eastAsia="lt-LT"/>
              </w:rPr>
              <w:t>47</w:t>
            </w:r>
          </w:p>
        </w:tc>
        <w:tc>
          <w:tcPr>
            <w:tcW w:w="1102" w:type="dxa"/>
            <w:noWrap/>
            <w:vAlign w:val="center"/>
          </w:tcPr>
          <w:p>
            <w:pPr>
              <w:jc w:val="center"/>
              <w:rPr>
                <w:color w:val="000000"/>
                <w:sz w:val="22"/>
                <w:szCs w:val="22"/>
                <w:lang w:eastAsia="lt-LT"/>
              </w:rPr>
            </w:pPr>
            <w:r>
              <w:rPr>
                <w:color w:val="000000"/>
                <w:sz w:val="22"/>
                <w:szCs w:val="22"/>
                <w:lang w:eastAsia="lt-LT"/>
              </w:rPr>
              <w:t>47</w:t>
            </w:r>
          </w:p>
        </w:tc>
      </w:tr>
    </w:tbl>
    <w:p>
      <w:pPr>
        <w:rPr>
          <w:sz w:val="10"/>
          <w:szCs w:val="10"/>
          <w:lang w:eastAsia="lt-LT"/>
        </w:rPr>
      </w:pPr>
    </w:p>
    <w:p>
      <w:pPr>
        <w:ind w:firstLine="709"/>
        <w:jc w:val="both"/>
        <w:rPr>
          <w:bCs/>
          <w:color w:val="000000"/>
          <w:szCs w:val="24"/>
          <w:lang w:eastAsia="lt-LT"/>
        </w:rPr>
      </w:pPr>
    </w:p>
    <w:p>
      <w:pPr>
        <w:rPr>
          <w:sz w:val="10"/>
          <w:szCs w:val="10"/>
          <w:lang w:eastAsia="lt-LT"/>
        </w:rPr>
      </w:pPr>
    </w:p>
    <w:p>
      <w:pPr>
        <w:ind w:firstLine="567"/>
        <w:jc w:val="both"/>
        <w:rPr>
          <w:bCs/>
          <w:color w:val="000000"/>
          <w:szCs w:val="24"/>
          <w:lang w:eastAsia="lt-LT"/>
        </w:rPr>
      </w:pPr>
      <w:r>
        <w:rPr>
          <w:bCs/>
          <w:color w:val="000000"/>
          <w:szCs w:val="24"/>
          <w:lang w:eastAsia="lt-LT"/>
        </w:rPr>
        <w:t>2</w:t>
      </w:r>
      <w:r>
        <w:rPr>
          <w:bCs/>
          <w:color w:val="000000"/>
          <w:szCs w:val="24"/>
          <w:lang w:eastAsia="lt-LT"/>
        </w:rPr>
        <w:t>. Didžiausias leistinas A</w:t>
      </w:r>
      <w:r>
        <w:rPr>
          <w:bCs/>
          <w:szCs w:val="24"/>
          <w:lang w:eastAsia="lt-LT"/>
        </w:rPr>
        <w:t xml:space="preserve">ntžeminių sistemų </w:t>
      </w:r>
      <w:r>
        <w:rPr>
          <w:bCs/>
          <w:color w:val="000000"/>
          <w:szCs w:val="24"/>
          <w:lang w:eastAsia="lt-LT"/>
        </w:rPr>
        <w:t>bazinių stočių signalas DVB-T sistemos televizijos signalo priėmimo vietose, dBm:</w:t>
      </w:r>
    </w:p>
    <w:p>
      <w:pPr>
        <w:rPr>
          <w:sz w:val="10"/>
          <w:szCs w:val="10"/>
          <w:lang w:eastAsia="lt-LT"/>
        </w:rPr>
      </w:pPr>
    </w:p>
    <w:p>
      <w:pPr>
        <w:ind w:firstLine="567"/>
        <w:jc w:val="both"/>
        <w:rPr>
          <w:bCs/>
          <w:color w:val="000000"/>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3"/>
        <w:gridCol w:w="975"/>
        <w:gridCol w:w="1152"/>
        <w:gridCol w:w="1134"/>
        <w:gridCol w:w="1081"/>
        <w:gridCol w:w="1169"/>
        <w:gridCol w:w="1134"/>
        <w:gridCol w:w="1134"/>
      </w:tblGrid>
      <w:tr>
        <w:tc>
          <w:tcPr>
            <w:tcW w:w="2268" w:type="dxa"/>
            <w:gridSpan w:val="2"/>
            <w:vMerge w:val="restart"/>
            <w:vAlign w:val="center"/>
          </w:tcPr>
          <w:p>
            <w:pPr>
              <w:jc w:val="center"/>
              <w:rPr>
                <w:color w:val="000000"/>
                <w:sz w:val="22"/>
                <w:szCs w:val="22"/>
                <w:lang w:eastAsia="lt-LT"/>
              </w:rPr>
            </w:pPr>
            <w:r>
              <w:rPr>
                <w:sz w:val="22"/>
                <w:szCs w:val="22"/>
                <w:lang w:eastAsia="ar-SA"/>
              </w:rPr>
              <w:t>64-QAM 3/4</w:t>
            </w:r>
          </w:p>
        </w:tc>
        <w:tc>
          <w:tcPr>
            <w:tcW w:w="6804" w:type="dxa"/>
            <w:gridSpan w:val="6"/>
            <w:noWrap/>
            <w:vAlign w:val="center"/>
          </w:tcPr>
          <w:p>
            <w:pPr>
              <w:jc w:val="center"/>
              <w:rPr>
                <w:bCs/>
                <w:color w:val="000000"/>
                <w:sz w:val="22"/>
                <w:szCs w:val="22"/>
                <w:lang w:eastAsia="lt-LT"/>
              </w:rPr>
            </w:pPr>
            <w:r>
              <w:rPr>
                <w:bCs/>
                <w:sz w:val="22"/>
                <w:szCs w:val="22"/>
                <w:lang w:eastAsia="lt-LT"/>
              </w:rPr>
              <w:t>Antžeminių sistemų</w:t>
            </w:r>
            <w:r>
              <w:rPr>
                <w:bCs/>
                <w:color w:val="000000"/>
                <w:sz w:val="22"/>
                <w:szCs w:val="22"/>
                <w:lang w:eastAsia="lt-LT"/>
              </w:rPr>
              <w:t xml:space="preserve"> radijo ryšio kanalai</w:t>
            </w:r>
          </w:p>
        </w:tc>
      </w:tr>
      <w:tr>
        <w:tc>
          <w:tcPr>
            <w:tcW w:w="2268" w:type="dxa"/>
            <w:gridSpan w:val="2"/>
            <w:vMerge/>
            <w:vAlign w:val="center"/>
          </w:tcPr>
          <w:p>
            <w:pPr>
              <w:jc w:val="center"/>
              <w:rPr>
                <w:color w:val="000000"/>
                <w:sz w:val="22"/>
                <w:szCs w:val="22"/>
                <w:lang w:eastAsia="lt-LT"/>
              </w:rPr>
            </w:pPr>
          </w:p>
        </w:tc>
        <w:tc>
          <w:tcPr>
            <w:tcW w:w="1152" w:type="dxa"/>
            <w:noWrap/>
            <w:vAlign w:val="center"/>
          </w:tcPr>
          <w:p>
            <w:pPr>
              <w:jc w:val="center"/>
              <w:rPr>
                <w:bCs/>
                <w:color w:val="000000"/>
                <w:sz w:val="22"/>
                <w:szCs w:val="22"/>
                <w:lang w:eastAsia="lt-LT"/>
              </w:rPr>
            </w:pPr>
            <w:r>
              <w:rPr>
                <w:bCs/>
                <w:color w:val="000000"/>
                <w:sz w:val="22"/>
                <w:szCs w:val="22"/>
                <w:lang w:eastAsia="lt-LT"/>
              </w:rPr>
              <w:t>1</w:t>
            </w:r>
          </w:p>
        </w:tc>
        <w:tc>
          <w:tcPr>
            <w:tcW w:w="1134" w:type="dxa"/>
            <w:noWrap/>
            <w:vAlign w:val="center"/>
          </w:tcPr>
          <w:p>
            <w:pPr>
              <w:jc w:val="center"/>
              <w:rPr>
                <w:bCs/>
                <w:color w:val="000000"/>
                <w:sz w:val="22"/>
                <w:szCs w:val="22"/>
                <w:lang w:eastAsia="lt-LT"/>
              </w:rPr>
            </w:pPr>
            <w:r>
              <w:rPr>
                <w:bCs/>
                <w:color w:val="000000"/>
                <w:sz w:val="22"/>
                <w:szCs w:val="22"/>
                <w:lang w:eastAsia="lt-LT"/>
              </w:rPr>
              <w:t>2</w:t>
            </w:r>
          </w:p>
        </w:tc>
        <w:tc>
          <w:tcPr>
            <w:tcW w:w="1081" w:type="dxa"/>
            <w:noWrap/>
            <w:vAlign w:val="center"/>
          </w:tcPr>
          <w:p>
            <w:pPr>
              <w:jc w:val="center"/>
              <w:rPr>
                <w:bCs/>
                <w:color w:val="000000"/>
                <w:sz w:val="22"/>
                <w:szCs w:val="22"/>
                <w:lang w:eastAsia="lt-LT"/>
              </w:rPr>
            </w:pPr>
            <w:r>
              <w:rPr>
                <w:bCs/>
                <w:color w:val="000000"/>
                <w:sz w:val="22"/>
                <w:szCs w:val="22"/>
                <w:lang w:eastAsia="lt-LT"/>
              </w:rPr>
              <w:t>3</w:t>
            </w:r>
          </w:p>
        </w:tc>
        <w:tc>
          <w:tcPr>
            <w:tcW w:w="1169" w:type="dxa"/>
            <w:noWrap/>
            <w:vAlign w:val="center"/>
          </w:tcPr>
          <w:p>
            <w:pPr>
              <w:jc w:val="center"/>
              <w:rPr>
                <w:bCs/>
                <w:color w:val="000000"/>
                <w:sz w:val="22"/>
                <w:szCs w:val="22"/>
                <w:lang w:eastAsia="lt-LT"/>
              </w:rPr>
            </w:pPr>
            <w:r>
              <w:rPr>
                <w:bCs/>
                <w:color w:val="000000"/>
                <w:sz w:val="22"/>
                <w:szCs w:val="22"/>
                <w:lang w:eastAsia="lt-LT"/>
              </w:rPr>
              <w:t>4</w:t>
            </w:r>
          </w:p>
        </w:tc>
        <w:tc>
          <w:tcPr>
            <w:tcW w:w="1134" w:type="dxa"/>
            <w:noWrap/>
            <w:vAlign w:val="center"/>
          </w:tcPr>
          <w:p>
            <w:pPr>
              <w:jc w:val="center"/>
              <w:rPr>
                <w:bCs/>
                <w:color w:val="000000"/>
                <w:sz w:val="22"/>
                <w:szCs w:val="22"/>
                <w:lang w:eastAsia="lt-LT"/>
              </w:rPr>
            </w:pPr>
            <w:r>
              <w:rPr>
                <w:bCs/>
                <w:color w:val="000000"/>
                <w:sz w:val="22"/>
                <w:szCs w:val="22"/>
                <w:lang w:eastAsia="lt-LT"/>
              </w:rPr>
              <w:t>5</w:t>
            </w:r>
          </w:p>
        </w:tc>
        <w:tc>
          <w:tcPr>
            <w:tcW w:w="1134" w:type="dxa"/>
            <w:noWrap/>
            <w:vAlign w:val="center"/>
          </w:tcPr>
          <w:p>
            <w:pPr>
              <w:jc w:val="center"/>
              <w:rPr>
                <w:bCs/>
                <w:color w:val="000000"/>
                <w:sz w:val="22"/>
                <w:szCs w:val="22"/>
                <w:lang w:eastAsia="lt-LT"/>
              </w:rPr>
            </w:pPr>
            <w:r>
              <w:rPr>
                <w:bCs/>
                <w:color w:val="000000"/>
                <w:sz w:val="22"/>
                <w:szCs w:val="22"/>
                <w:lang w:eastAsia="lt-LT"/>
              </w:rPr>
              <w:t>6</w:t>
            </w:r>
          </w:p>
        </w:tc>
      </w:tr>
      <w:tr>
        <w:tc>
          <w:tcPr>
            <w:tcW w:w="1293" w:type="dxa"/>
            <w:vMerge w:val="restart"/>
            <w:vAlign w:val="center"/>
          </w:tcPr>
          <w:p>
            <w:pPr>
              <w:jc w:val="center"/>
              <w:rPr>
                <w:color w:val="000000"/>
                <w:sz w:val="22"/>
                <w:szCs w:val="22"/>
                <w:lang w:eastAsia="lt-LT"/>
              </w:rPr>
            </w:pPr>
            <w:r>
              <w:rPr>
                <w:sz w:val="22"/>
                <w:szCs w:val="22"/>
                <w:lang w:eastAsia="lt-LT"/>
              </w:rPr>
              <w:t>Televizijos kanalai</w:t>
            </w:r>
          </w:p>
        </w:tc>
        <w:tc>
          <w:tcPr>
            <w:tcW w:w="975" w:type="dxa"/>
            <w:tcBorders>
              <w:bottom w:val="nil"/>
            </w:tcBorders>
            <w:noWrap/>
          </w:tcPr>
          <w:p>
            <w:pPr>
              <w:jc w:val="center"/>
              <w:rPr>
                <w:sz w:val="22"/>
                <w:szCs w:val="22"/>
                <w:lang w:eastAsia="lt-LT"/>
              </w:rPr>
            </w:pPr>
          </w:p>
        </w:tc>
        <w:tc>
          <w:tcPr>
            <w:tcW w:w="1152" w:type="dxa"/>
            <w:tcBorders>
              <w:bottom w:val="nil"/>
            </w:tcBorders>
            <w:noWrap/>
          </w:tcPr>
          <w:p>
            <w:pPr>
              <w:jc w:val="center"/>
              <w:rPr>
                <w:sz w:val="22"/>
                <w:szCs w:val="22"/>
                <w:lang w:eastAsia="lt-LT"/>
              </w:rPr>
            </w:pPr>
            <w:r>
              <w:rPr>
                <w:sz w:val="22"/>
                <w:szCs w:val="22"/>
                <w:lang w:eastAsia="lt-LT"/>
              </w:rPr>
              <w:t>791–796 MHz</w:t>
            </w:r>
          </w:p>
        </w:tc>
        <w:tc>
          <w:tcPr>
            <w:tcW w:w="1134" w:type="dxa"/>
            <w:tcBorders>
              <w:bottom w:val="nil"/>
            </w:tcBorders>
            <w:noWrap/>
          </w:tcPr>
          <w:p>
            <w:pPr>
              <w:jc w:val="center"/>
              <w:rPr>
                <w:sz w:val="22"/>
                <w:szCs w:val="22"/>
                <w:lang w:eastAsia="lt-LT"/>
              </w:rPr>
            </w:pPr>
            <w:r>
              <w:rPr>
                <w:sz w:val="22"/>
                <w:szCs w:val="22"/>
                <w:lang w:eastAsia="lt-LT"/>
              </w:rPr>
              <w:t>796–801 MHz</w:t>
            </w:r>
          </w:p>
        </w:tc>
        <w:tc>
          <w:tcPr>
            <w:tcW w:w="1081" w:type="dxa"/>
            <w:tcBorders>
              <w:bottom w:val="nil"/>
            </w:tcBorders>
            <w:noWrap/>
          </w:tcPr>
          <w:p>
            <w:pPr>
              <w:jc w:val="center"/>
              <w:rPr>
                <w:sz w:val="22"/>
                <w:szCs w:val="22"/>
                <w:lang w:eastAsia="lt-LT"/>
              </w:rPr>
            </w:pPr>
            <w:r>
              <w:rPr>
                <w:sz w:val="22"/>
                <w:szCs w:val="22"/>
                <w:lang w:eastAsia="lt-LT"/>
              </w:rPr>
              <w:t>801–806 MHz</w:t>
            </w:r>
          </w:p>
        </w:tc>
        <w:tc>
          <w:tcPr>
            <w:tcW w:w="1169" w:type="dxa"/>
            <w:tcBorders>
              <w:bottom w:val="nil"/>
            </w:tcBorders>
            <w:noWrap/>
          </w:tcPr>
          <w:p>
            <w:pPr>
              <w:jc w:val="center"/>
              <w:rPr>
                <w:sz w:val="22"/>
                <w:szCs w:val="22"/>
                <w:lang w:eastAsia="lt-LT"/>
              </w:rPr>
            </w:pPr>
            <w:r>
              <w:rPr>
                <w:sz w:val="22"/>
                <w:szCs w:val="22"/>
                <w:lang w:eastAsia="lt-LT"/>
              </w:rPr>
              <w:t>806–811 MHz</w:t>
            </w:r>
          </w:p>
        </w:tc>
        <w:tc>
          <w:tcPr>
            <w:tcW w:w="1134" w:type="dxa"/>
            <w:tcBorders>
              <w:bottom w:val="nil"/>
            </w:tcBorders>
            <w:noWrap/>
          </w:tcPr>
          <w:p>
            <w:pPr>
              <w:jc w:val="center"/>
              <w:rPr>
                <w:sz w:val="22"/>
                <w:szCs w:val="22"/>
                <w:lang w:eastAsia="lt-LT"/>
              </w:rPr>
            </w:pPr>
            <w:r>
              <w:rPr>
                <w:sz w:val="22"/>
                <w:szCs w:val="22"/>
                <w:lang w:eastAsia="lt-LT"/>
              </w:rPr>
              <w:t>811–816 MHz</w:t>
            </w:r>
          </w:p>
        </w:tc>
        <w:tc>
          <w:tcPr>
            <w:tcW w:w="1134" w:type="dxa"/>
            <w:tcBorders>
              <w:bottom w:val="nil"/>
            </w:tcBorders>
            <w:noWrap/>
          </w:tcPr>
          <w:p>
            <w:pPr>
              <w:jc w:val="center"/>
              <w:rPr>
                <w:sz w:val="22"/>
                <w:szCs w:val="22"/>
                <w:lang w:eastAsia="lt-LT"/>
              </w:rPr>
            </w:pPr>
            <w:r>
              <w:rPr>
                <w:sz w:val="22"/>
                <w:szCs w:val="22"/>
                <w:lang w:eastAsia="lt-LT"/>
              </w:rPr>
              <w:t>816–821 MHz</w:t>
            </w:r>
          </w:p>
        </w:tc>
      </w:tr>
      <w:tr>
        <w:tc>
          <w:tcPr>
            <w:tcW w:w="1293" w:type="dxa"/>
            <w:vMerge/>
            <w:vAlign w:val="center"/>
          </w:tcPr>
          <w:p>
            <w:pPr>
              <w:jc w:val="center"/>
              <w:rPr>
                <w:color w:val="000000"/>
                <w:sz w:val="22"/>
                <w:szCs w:val="22"/>
                <w:lang w:eastAsia="lt-LT"/>
              </w:rPr>
            </w:pPr>
          </w:p>
        </w:tc>
        <w:tc>
          <w:tcPr>
            <w:tcW w:w="975" w:type="dxa"/>
            <w:vAlign w:val="center"/>
          </w:tcPr>
          <w:p>
            <w:pPr>
              <w:jc w:val="center"/>
              <w:rPr>
                <w:bCs/>
                <w:color w:val="000000"/>
                <w:sz w:val="22"/>
                <w:szCs w:val="22"/>
                <w:lang w:eastAsia="lt-LT"/>
              </w:rPr>
            </w:pPr>
            <w:r>
              <w:rPr>
                <w:bCs/>
                <w:color w:val="000000"/>
                <w:sz w:val="22"/>
                <w:szCs w:val="22"/>
                <w:lang w:eastAsia="lt-LT"/>
              </w:rPr>
              <w:t>60</w:t>
            </w:r>
          </w:p>
        </w:tc>
        <w:tc>
          <w:tcPr>
            <w:tcW w:w="1152" w:type="dxa"/>
            <w:noWrap/>
            <w:vAlign w:val="center"/>
          </w:tcPr>
          <w:p>
            <w:pPr>
              <w:jc w:val="center"/>
              <w:rPr>
                <w:color w:val="000000"/>
                <w:sz w:val="22"/>
                <w:szCs w:val="22"/>
                <w:lang w:eastAsia="lt-LT"/>
              </w:rPr>
            </w:pPr>
            <w:r>
              <w:rPr>
                <w:color w:val="000000"/>
                <w:sz w:val="22"/>
                <w:szCs w:val="22"/>
                <w:lang w:eastAsia="lt-LT"/>
              </w:rPr>
              <w:t>-6</w:t>
            </w:r>
          </w:p>
        </w:tc>
        <w:tc>
          <w:tcPr>
            <w:tcW w:w="1134" w:type="dxa"/>
            <w:noWrap/>
            <w:vAlign w:val="center"/>
          </w:tcPr>
          <w:p>
            <w:pPr>
              <w:jc w:val="center"/>
              <w:rPr>
                <w:color w:val="000000"/>
                <w:sz w:val="22"/>
                <w:szCs w:val="22"/>
                <w:lang w:eastAsia="lt-LT"/>
              </w:rPr>
            </w:pPr>
            <w:r>
              <w:rPr>
                <w:color w:val="000000"/>
                <w:sz w:val="22"/>
                <w:szCs w:val="22"/>
                <w:lang w:eastAsia="lt-LT"/>
              </w:rPr>
              <w:t>-2</w:t>
            </w:r>
          </w:p>
        </w:tc>
        <w:tc>
          <w:tcPr>
            <w:tcW w:w="4518" w:type="dxa"/>
            <w:gridSpan w:val="4"/>
            <w:noWrap/>
            <w:vAlign w:val="center"/>
          </w:tcPr>
          <w:p>
            <w:pPr>
              <w:jc w:val="center"/>
              <w:rPr>
                <w:color w:val="000000"/>
                <w:sz w:val="22"/>
                <w:szCs w:val="22"/>
                <w:lang w:eastAsia="lt-LT"/>
              </w:rPr>
            </w:pPr>
            <w:r>
              <w:rPr>
                <w:color w:val="000000"/>
                <w:sz w:val="22"/>
                <w:szCs w:val="22"/>
                <w:lang w:eastAsia="lt-LT"/>
              </w:rPr>
              <w:t>0</w:t>
            </w:r>
          </w:p>
        </w:tc>
      </w:tr>
      <w:tr>
        <w:tc>
          <w:tcPr>
            <w:tcW w:w="1293" w:type="dxa"/>
            <w:vMerge/>
            <w:vAlign w:val="center"/>
          </w:tcPr>
          <w:p>
            <w:pPr>
              <w:jc w:val="center"/>
              <w:rPr>
                <w:color w:val="000000"/>
                <w:sz w:val="22"/>
                <w:szCs w:val="22"/>
                <w:lang w:eastAsia="lt-LT"/>
              </w:rPr>
            </w:pPr>
          </w:p>
        </w:tc>
        <w:tc>
          <w:tcPr>
            <w:tcW w:w="975" w:type="dxa"/>
            <w:vAlign w:val="center"/>
          </w:tcPr>
          <w:p>
            <w:pPr>
              <w:jc w:val="center"/>
              <w:rPr>
                <w:bCs/>
                <w:color w:val="000000"/>
                <w:sz w:val="22"/>
                <w:szCs w:val="22"/>
                <w:lang w:eastAsia="lt-LT"/>
              </w:rPr>
            </w:pPr>
            <w:r>
              <w:rPr>
                <w:bCs/>
                <w:color w:val="000000"/>
                <w:sz w:val="22"/>
                <w:szCs w:val="22"/>
                <w:lang w:eastAsia="lt-LT"/>
              </w:rPr>
              <w:t>21–59</w:t>
            </w:r>
          </w:p>
        </w:tc>
        <w:tc>
          <w:tcPr>
            <w:tcW w:w="6804" w:type="dxa"/>
            <w:gridSpan w:val="6"/>
            <w:noWrap/>
            <w:vAlign w:val="center"/>
          </w:tcPr>
          <w:p>
            <w:pPr>
              <w:jc w:val="center"/>
              <w:rPr>
                <w:color w:val="000000"/>
                <w:sz w:val="22"/>
                <w:szCs w:val="22"/>
                <w:lang w:eastAsia="lt-LT"/>
              </w:rPr>
            </w:pPr>
            <w:r>
              <w:rPr>
                <w:color w:val="000000"/>
                <w:sz w:val="22"/>
                <w:szCs w:val="22"/>
                <w:lang w:eastAsia="lt-LT"/>
              </w:rPr>
              <w:t>0</w:t>
            </w:r>
          </w:p>
        </w:tc>
      </w:tr>
    </w:tbl>
    <w:p>
      <w:pPr>
        <w:rPr>
          <w:sz w:val="10"/>
          <w:szCs w:val="10"/>
          <w:lang w:eastAsia="lt-LT"/>
        </w:rPr>
      </w:pPr>
    </w:p>
    <w:p>
      <w:pPr>
        <w:ind w:firstLine="709"/>
        <w:jc w:val="both"/>
        <w:rPr>
          <w:bCs/>
          <w:color w:val="000000"/>
          <w:szCs w:val="24"/>
          <w:lang w:eastAsia="lt-LT"/>
        </w:rPr>
      </w:pPr>
    </w:p>
    <w:p>
      <w:pPr>
        <w:rPr>
          <w:sz w:val="10"/>
          <w:szCs w:val="10"/>
          <w:lang w:eastAsia="lt-LT"/>
        </w:rPr>
      </w:pPr>
    </w:p>
    <w:p>
      <w:pPr>
        <w:ind w:firstLine="567"/>
        <w:jc w:val="both"/>
        <w:rPr>
          <w:bCs/>
          <w:color w:val="000000"/>
          <w:szCs w:val="24"/>
          <w:lang w:eastAsia="lt-LT"/>
        </w:rPr>
      </w:pPr>
      <w:r>
        <w:rPr>
          <w:bCs/>
          <w:color w:val="000000"/>
          <w:szCs w:val="24"/>
          <w:lang w:eastAsia="lt-LT"/>
        </w:rPr>
        <w:t>3</w:t>
      </w:r>
      <w:r>
        <w:rPr>
          <w:bCs/>
          <w:color w:val="000000"/>
          <w:szCs w:val="24"/>
          <w:lang w:eastAsia="lt-LT"/>
        </w:rPr>
        <w:t>. Nuo DVB-T signalo moduliacijos priklausantis šio priedo 1 punkto lentelėje nurodytų verčių korekcijos faktorius, dB (pridedamas prie lentelėje nurodytų verčių):</w:t>
      </w:r>
    </w:p>
    <w:p>
      <w:pPr>
        <w:rPr>
          <w:sz w:val="10"/>
          <w:szCs w:val="10"/>
          <w:lang w:eastAsia="lt-LT"/>
        </w:rPr>
      </w:pPr>
    </w:p>
    <w:p>
      <w:pPr>
        <w:ind w:firstLine="709"/>
        <w:jc w:val="both"/>
        <w:rPr>
          <w:szCs w:val="24"/>
          <w:lang w:eastAsia="ar-S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1"/>
        <w:gridCol w:w="3541"/>
      </w:tblGrid>
      <w:tr>
        <w:trPr>
          <w:tblHeader/>
        </w:trPr>
        <w:tc>
          <w:tcPr>
            <w:tcW w:w="3543" w:type="dxa"/>
          </w:tcPr>
          <w:p>
            <w:pPr>
              <w:jc w:val="center"/>
              <w:rPr>
                <w:sz w:val="22"/>
                <w:szCs w:val="22"/>
                <w:lang w:eastAsia="lt-LT"/>
              </w:rPr>
            </w:pPr>
            <w:r>
              <w:rPr>
                <w:sz w:val="22"/>
                <w:szCs w:val="22"/>
                <w:lang w:eastAsia="lt-LT"/>
              </w:rPr>
              <w:t>Moduliacija ir kodavimo santykis</w:t>
            </w:r>
          </w:p>
        </w:tc>
        <w:tc>
          <w:tcPr>
            <w:tcW w:w="2268" w:type="dxa"/>
          </w:tcPr>
          <w:p>
            <w:pPr>
              <w:jc w:val="center"/>
              <w:rPr>
                <w:sz w:val="22"/>
                <w:szCs w:val="22"/>
                <w:lang w:eastAsia="lt-LT"/>
              </w:rPr>
            </w:pPr>
            <w:r>
              <w:rPr>
                <w:sz w:val="22"/>
                <w:szCs w:val="22"/>
                <w:lang w:eastAsia="lt-LT"/>
              </w:rPr>
              <w:t>Korekcijos faktorius</w:t>
            </w:r>
          </w:p>
        </w:tc>
      </w:tr>
      <w:tr>
        <w:tc>
          <w:tcPr>
            <w:tcW w:w="3543" w:type="dxa"/>
          </w:tcPr>
          <w:p>
            <w:pPr>
              <w:jc w:val="center"/>
              <w:rPr>
                <w:sz w:val="22"/>
                <w:szCs w:val="22"/>
                <w:lang w:eastAsia="lt-LT"/>
              </w:rPr>
            </w:pPr>
            <w:r>
              <w:rPr>
                <w:sz w:val="22"/>
                <w:szCs w:val="22"/>
                <w:lang w:eastAsia="lt-LT"/>
              </w:rPr>
              <w:t>QPSK 1/2</w:t>
            </w:r>
          </w:p>
        </w:tc>
        <w:tc>
          <w:tcPr>
            <w:tcW w:w="2268" w:type="dxa"/>
            <w:vAlign w:val="bottom"/>
          </w:tcPr>
          <w:p>
            <w:pPr>
              <w:jc w:val="center"/>
              <w:rPr>
                <w:color w:val="000000"/>
                <w:sz w:val="22"/>
                <w:szCs w:val="22"/>
                <w:lang w:eastAsia="lt-LT"/>
              </w:rPr>
            </w:pPr>
            <w:r>
              <w:rPr>
                <w:color w:val="000000"/>
                <w:sz w:val="22"/>
                <w:szCs w:val="22"/>
                <w:lang w:eastAsia="lt-LT"/>
              </w:rPr>
              <w:t>15</w:t>
            </w:r>
          </w:p>
        </w:tc>
      </w:tr>
      <w:tr>
        <w:tc>
          <w:tcPr>
            <w:tcW w:w="3543" w:type="dxa"/>
          </w:tcPr>
          <w:p>
            <w:pPr>
              <w:jc w:val="center"/>
              <w:rPr>
                <w:sz w:val="22"/>
                <w:szCs w:val="22"/>
                <w:lang w:eastAsia="lt-LT"/>
              </w:rPr>
            </w:pPr>
            <w:r>
              <w:rPr>
                <w:sz w:val="22"/>
                <w:szCs w:val="22"/>
                <w:lang w:eastAsia="lt-LT"/>
              </w:rPr>
              <w:t>QPSK 2/3</w:t>
            </w:r>
          </w:p>
        </w:tc>
        <w:tc>
          <w:tcPr>
            <w:tcW w:w="2268" w:type="dxa"/>
            <w:vAlign w:val="bottom"/>
          </w:tcPr>
          <w:p>
            <w:pPr>
              <w:jc w:val="center"/>
              <w:rPr>
                <w:color w:val="000000"/>
                <w:sz w:val="22"/>
                <w:szCs w:val="22"/>
                <w:lang w:eastAsia="lt-LT"/>
              </w:rPr>
            </w:pPr>
            <w:r>
              <w:rPr>
                <w:color w:val="000000"/>
                <w:sz w:val="22"/>
                <w:szCs w:val="22"/>
                <w:lang w:eastAsia="lt-LT"/>
              </w:rPr>
              <w:t>13</w:t>
            </w:r>
          </w:p>
        </w:tc>
      </w:tr>
      <w:tr>
        <w:tc>
          <w:tcPr>
            <w:tcW w:w="3543" w:type="dxa"/>
          </w:tcPr>
          <w:p>
            <w:pPr>
              <w:jc w:val="center"/>
              <w:rPr>
                <w:sz w:val="22"/>
                <w:szCs w:val="22"/>
                <w:lang w:eastAsia="lt-LT"/>
              </w:rPr>
            </w:pPr>
            <w:r>
              <w:rPr>
                <w:sz w:val="22"/>
                <w:szCs w:val="22"/>
                <w:lang w:eastAsia="lt-LT"/>
              </w:rPr>
              <w:t>QPSK 3/4</w:t>
            </w:r>
          </w:p>
        </w:tc>
        <w:tc>
          <w:tcPr>
            <w:tcW w:w="2268" w:type="dxa"/>
            <w:vAlign w:val="bottom"/>
          </w:tcPr>
          <w:p>
            <w:pPr>
              <w:jc w:val="center"/>
              <w:rPr>
                <w:color w:val="000000"/>
                <w:sz w:val="22"/>
                <w:szCs w:val="22"/>
                <w:lang w:eastAsia="lt-LT"/>
              </w:rPr>
            </w:pPr>
            <w:r>
              <w:rPr>
                <w:color w:val="000000"/>
                <w:sz w:val="22"/>
                <w:szCs w:val="22"/>
                <w:lang w:eastAsia="lt-LT"/>
              </w:rPr>
              <w:t>12</w:t>
            </w:r>
          </w:p>
        </w:tc>
      </w:tr>
      <w:tr>
        <w:tc>
          <w:tcPr>
            <w:tcW w:w="3543" w:type="dxa"/>
          </w:tcPr>
          <w:p>
            <w:pPr>
              <w:jc w:val="center"/>
              <w:rPr>
                <w:sz w:val="22"/>
                <w:szCs w:val="22"/>
                <w:lang w:eastAsia="lt-LT"/>
              </w:rPr>
            </w:pPr>
            <w:r>
              <w:rPr>
                <w:sz w:val="22"/>
                <w:szCs w:val="22"/>
                <w:lang w:eastAsia="lt-LT"/>
              </w:rPr>
              <w:t>QPSK 5/6</w:t>
            </w:r>
          </w:p>
        </w:tc>
        <w:tc>
          <w:tcPr>
            <w:tcW w:w="2268" w:type="dxa"/>
            <w:vAlign w:val="bottom"/>
          </w:tcPr>
          <w:p>
            <w:pPr>
              <w:jc w:val="center"/>
              <w:rPr>
                <w:color w:val="000000"/>
                <w:sz w:val="22"/>
                <w:szCs w:val="22"/>
                <w:lang w:eastAsia="lt-LT"/>
              </w:rPr>
            </w:pPr>
            <w:r>
              <w:rPr>
                <w:color w:val="000000"/>
                <w:sz w:val="22"/>
                <w:szCs w:val="22"/>
                <w:lang w:eastAsia="lt-LT"/>
              </w:rPr>
              <w:t>11</w:t>
            </w:r>
          </w:p>
        </w:tc>
      </w:tr>
      <w:tr>
        <w:tc>
          <w:tcPr>
            <w:tcW w:w="3543" w:type="dxa"/>
          </w:tcPr>
          <w:p>
            <w:pPr>
              <w:jc w:val="center"/>
              <w:rPr>
                <w:sz w:val="22"/>
                <w:szCs w:val="22"/>
                <w:lang w:eastAsia="lt-LT"/>
              </w:rPr>
            </w:pPr>
            <w:r>
              <w:rPr>
                <w:sz w:val="22"/>
                <w:szCs w:val="22"/>
                <w:lang w:eastAsia="lt-LT"/>
              </w:rPr>
              <w:t>QPSK 7/8</w:t>
            </w:r>
          </w:p>
        </w:tc>
        <w:tc>
          <w:tcPr>
            <w:tcW w:w="2268" w:type="dxa"/>
            <w:vAlign w:val="bottom"/>
          </w:tcPr>
          <w:p>
            <w:pPr>
              <w:jc w:val="center"/>
              <w:rPr>
                <w:color w:val="000000"/>
                <w:sz w:val="22"/>
                <w:szCs w:val="22"/>
                <w:lang w:eastAsia="lt-LT"/>
              </w:rPr>
            </w:pPr>
            <w:r>
              <w:rPr>
                <w:color w:val="000000"/>
                <w:sz w:val="22"/>
                <w:szCs w:val="22"/>
                <w:lang w:eastAsia="lt-LT"/>
              </w:rPr>
              <w:t>10</w:t>
            </w:r>
          </w:p>
        </w:tc>
      </w:tr>
      <w:tr>
        <w:tc>
          <w:tcPr>
            <w:tcW w:w="3543" w:type="dxa"/>
          </w:tcPr>
          <w:p>
            <w:pPr>
              <w:jc w:val="center"/>
              <w:rPr>
                <w:sz w:val="22"/>
                <w:szCs w:val="22"/>
                <w:lang w:eastAsia="lt-LT"/>
              </w:rPr>
            </w:pPr>
            <w:r>
              <w:rPr>
                <w:sz w:val="22"/>
                <w:szCs w:val="22"/>
                <w:lang w:eastAsia="lt-LT"/>
              </w:rPr>
              <w:t>16-QAM 1/2</w:t>
            </w:r>
          </w:p>
        </w:tc>
        <w:tc>
          <w:tcPr>
            <w:tcW w:w="2268" w:type="dxa"/>
            <w:vAlign w:val="bottom"/>
          </w:tcPr>
          <w:p>
            <w:pPr>
              <w:jc w:val="center"/>
              <w:rPr>
                <w:color w:val="000000"/>
                <w:sz w:val="22"/>
                <w:szCs w:val="22"/>
                <w:lang w:eastAsia="lt-LT"/>
              </w:rPr>
            </w:pPr>
            <w:r>
              <w:rPr>
                <w:color w:val="000000"/>
                <w:sz w:val="22"/>
                <w:szCs w:val="22"/>
                <w:lang w:eastAsia="lt-LT"/>
              </w:rPr>
              <w:t>10</w:t>
            </w:r>
          </w:p>
        </w:tc>
      </w:tr>
      <w:tr>
        <w:tc>
          <w:tcPr>
            <w:tcW w:w="3543" w:type="dxa"/>
          </w:tcPr>
          <w:p>
            <w:pPr>
              <w:jc w:val="center"/>
              <w:rPr>
                <w:sz w:val="22"/>
                <w:szCs w:val="22"/>
                <w:lang w:eastAsia="lt-LT"/>
              </w:rPr>
            </w:pPr>
            <w:r>
              <w:rPr>
                <w:sz w:val="22"/>
                <w:szCs w:val="22"/>
                <w:lang w:eastAsia="lt-LT"/>
              </w:rPr>
              <w:t>16-QAM 2/3</w:t>
            </w:r>
          </w:p>
        </w:tc>
        <w:tc>
          <w:tcPr>
            <w:tcW w:w="2268" w:type="dxa"/>
            <w:vAlign w:val="bottom"/>
          </w:tcPr>
          <w:p>
            <w:pPr>
              <w:jc w:val="center"/>
              <w:rPr>
                <w:color w:val="000000"/>
                <w:sz w:val="22"/>
                <w:szCs w:val="22"/>
                <w:lang w:eastAsia="lt-LT"/>
              </w:rPr>
            </w:pPr>
            <w:r>
              <w:rPr>
                <w:color w:val="000000"/>
                <w:sz w:val="22"/>
                <w:szCs w:val="22"/>
                <w:lang w:eastAsia="lt-LT"/>
              </w:rPr>
              <w:t>7</w:t>
            </w:r>
          </w:p>
        </w:tc>
      </w:tr>
      <w:tr>
        <w:tc>
          <w:tcPr>
            <w:tcW w:w="3543" w:type="dxa"/>
          </w:tcPr>
          <w:p>
            <w:pPr>
              <w:jc w:val="center"/>
              <w:rPr>
                <w:sz w:val="22"/>
                <w:szCs w:val="22"/>
                <w:lang w:eastAsia="lt-LT"/>
              </w:rPr>
            </w:pPr>
            <w:r>
              <w:rPr>
                <w:sz w:val="22"/>
                <w:szCs w:val="22"/>
                <w:lang w:eastAsia="lt-LT"/>
              </w:rPr>
              <w:t>16-QAM 3/4</w:t>
            </w:r>
          </w:p>
        </w:tc>
        <w:tc>
          <w:tcPr>
            <w:tcW w:w="2268" w:type="dxa"/>
            <w:vAlign w:val="bottom"/>
          </w:tcPr>
          <w:p>
            <w:pPr>
              <w:jc w:val="center"/>
              <w:rPr>
                <w:color w:val="000000"/>
                <w:sz w:val="22"/>
                <w:szCs w:val="22"/>
                <w:lang w:eastAsia="lt-LT"/>
              </w:rPr>
            </w:pPr>
            <w:r>
              <w:rPr>
                <w:color w:val="000000"/>
                <w:sz w:val="22"/>
                <w:szCs w:val="22"/>
                <w:lang w:eastAsia="lt-LT"/>
              </w:rPr>
              <w:t>6</w:t>
            </w:r>
          </w:p>
        </w:tc>
      </w:tr>
      <w:tr>
        <w:tc>
          <w:tcPr>
            <w:tcW w:w="3543" w:type="dxa"/>
          </w:tcPr>
          <w:p>
            <w:pPr>
              <w:jc w:val="center"/>
              <w:rPr>
                <w:sz w:val="22"/>
                <w:szCs w:val="22"/>
                <w:lang w:eastAsia="lt-LT"/>
              </w:rPr>
            </w:pPr>
            <w:r>
              <w:rPr>
                <w:sz w:val="22"/>
                <w:szCs w:val="22"/>
                <w:lang w:eastAsia="lt-LT"/>
              </w:rPr>
              <w:t>16-QAM 5/6</w:t>
            </w:r>
          </w:p>
        </w:tc>
        <w:tc>
          <w:tcPr>
            <w:tcW w:w="2268" w:type="dxa"/>
            <w:vAlign w:val="bottom"/>
          </w:tcPr>
          <w:p>
            <w:pPr>
              <w:jc w:val="center"/>
              <w:rPr>
                <w:color w:val="000000"/>
                <w:sz w:val="22"/>
                <w:szCs w:val="22"/>
                <w:lang w:eastAsia="lt-LT"/>
              </w:rPr>
            </w:pPr>
            <w:r>
              <w:rPr>
                <w:color w:val="000000"/>
                <w:sz w:val="22"/>
                <w:szCs w:val="22"/>
                <w:lang w:eastAsia="lt-LT"/>
              </w:rPr>
              <w:t>4</w:t>
            </w:r>
          </w:p>
        </w:tc>
      </w:tr>
      <w:tr>
        <w:tc>
          <w:tcPr>
            <w:tcW w:w="3543" w:type="dxa"/>
          </w:tcPr>
          <w:p>
            <w:pPr>
              <w:jc w:val="center"/>
              <w:rPr>
                <w:sz w:val="22"/>
                <w:szCs w:val="22"/>
                <w:lang w:eastAsia="lt-LT"/>
              </w:rPr>
            </w:pPr>
            <w:r>
              <w:rPr>
                <w:sz w:val="22"/>
                <w:szCs w:val="22"/>
                <w:lang w:eastAsia="lt-LT"/>
              </w:rPr>
              <w:t>16-QAM 7/8</w:t>
            </w:r>
          </w:p>
        </w:tc>
        <w:tc>
          <w:tcPr>
            <w:tcW w:w="2268" w:type="dxa"/>
            <w:vAlign w:val="bottom"/>
          </w:tcPr>
          <w:p>
            <w:pPr>
              <w:jc w:val="center"/>
              <w:rPr>
                <w:color w:val="000000"/>
                <w:sz w:val="22"/>
                <w:szCs w:val="22"/>
                <w:lang w:eastAsia="lt-LT"/>
              </w:rPr>
            </w:pPr>
            <w:r>
              <w:rPr>
                <w:color w:val="000000"/>
                <w:sz w:val="22"/>
                <w:szCs w:val="22"/>
                <w:lang w:eastAsia="lt-LT"/>
              </w:rPr>
              <w:t>4</w:t>
            </w:r>
          </w:p>
        </w:tc>
      </w:tr>
      <w:tr>
        <w:tc>
          <w:tcPr>
            <w:tcW w:w="3543" w:type="dxa"/>
          </w:tcPr>
          <w:p>
            <w:pPr>
              <w:jc w:val="center"/>
              <w:rPr>
                <w:sz w:val="22"/>
                <w:szCs w:val="22"/>
                <w:lang w:eastAsia="lt-LT"/>
              </w:rPr>
            </w:pPr>
            <w:r>
              <w:rPr>
                <w:sz w:val="22"/>
                <w:szCs w:val="22"/>
                <w:lang w:eastAsia="lt-LT"/>
              </w:rPr>
              <w:t>64-QAM 1/2</w:t>
            </w:r>
          </w:p>
        </w:tc>
        <w:tc>
          <w:tcPr>
            <w:tcW w:w="2268" w:type="dxa"/>
            <w:vAlign w:val="bottom"/>
          </w:tcPr>
          <w:p>
            <w:pPr>
              <w:jc w:val="center"/>
              <w:rPr>
                <w:color w:val="000000"/>
                <w:sz w:val="22"/>
                <w:szCs w:val="22"/>
                <w:lang w:eastAsia="lt-LT"/>
              </w:rPr>
            </w:pPr>
            <w:r>
              <w:rPr>
                <w:color w:val="000000"/>
                <w:sz w:val="22"/>
                <w:szCs w:val="22"/>
                <w:lang w:eastAsia="lt-LT"/>
              </w:rPr>
              <w:t>4</w:t>
            </w:r>
          </w:p>
        </w:tc>
      </w:tr>
      <w:tr>
        <w:tc>
          <w:tcPr>
            <w:tcW w:w="3543" w:type="dxa"/>
          </w:tcPr>
          <w:p>
            <w:pPr>
              <w:jc w:val="center"/>
              <w:rPr>
                <w:sz w:val="22"/>
                <w:szCs w:val="22"/>
                <w:lang w:eastAsia="lt-LT"/>
              </w:rPr>
            </w:pPr>
            <w:r>
              <w:rPr>
                <w:sz w:val="22"/>
                <w:szCs w:val="22"/>
                <w:lang w:eastAsia="lt-LT"/>
              </w:rPr>
              <w:t>64-QAM 2/3</w:t>
            </w:r>
          </w:p>
        </w:tc>
        <w:tc>
          <w:tcPr>
            <w:tcW w:w="2268" w:type="dxa"/>
            <w:vAlign w:val="bottom"/>
          </w:tcPr>
          <w:p>
            <w:pPr>
              <w:jc w:val="center"/>
              <w:rPr>
                <w:color w:val="000000"/>
                <w:sz w:val="22"/>
                <w:szCs w:val="22"/>
                <w:lang w:eastAsia="lt-LT"/>
              </w:rPr>
            </w:pPr>
            <w:r>
              <w:rPr>
                <w:color w:val="000000"/>
                <w:sz w:val="22"/>
                <w:szCs w:val="22"/>
                <w:lang w:eastAsia="lt-LT"/>
              </w:rPr>
              <w:t>2</w:t>
            </w:r>
          </w:p>
        </w:tc>
      </w:tr>
      <w:tr>
        <w:tc>
          <w:tcPr>
            <w:tcW w:w="3543" w:type="dxa"/>
          </w:tcPr>
          <w:p>
            <w:pPr>
              <w:jc w:val="center"/>
              <w:rPr>
                <w:sz w:val="22"/>
                <w:szCs w:val="22"/>
                <w:lang w:eastAsia="lt-LT"/>
              </w:rPr>
            </w:pPr>
            <w:r>
              <w:rPr>
                <w:sz w:val="22"/>
                <w:szCs w:val="22"/>
                <w:lang w:eastAsia="lt-LT"/>
              </w:rPr>
              <w:t>64-QAM 3/4</w:t>
            </w:r>
          </w:p>
        </w:tc>
        <w:tc>
          <w:tcPr>
            <w:tcW w:w="2268" w:type="dxa"/>
            <w:vAlign w:val="bottom"/>
          </w:tcPr>
          <w:p>
            <w:pPr>
              <w:jc w:val="center"/>
              <w:rPr>
                <w:color w:val="000000"/>
                <w:sz w:val="22"/>
                <w:szCs w:val="22"/>
                <w:lang w:eastAsia="lt-LT"/>
              </w:rPr>
            </w:pPr>
            <w:r>
              <w:rPr>
                <w:color w:val="000000"/>
                <w:sz w:val="22"/>
                <w:szCs w:val="22"/>
                <w:lang w:eastAsia="lt-LT"/>
              </w:rPr>
              <w:t>0</w:t>
            </w:r>
          </w:p>
        </w:tc>
      </w:tr>
      <w:tr>
        <w:tc>
          <w:tcPr>
            <w:tcW w:w="3543" w:type="dxa"/>
          </w:tcPr>
          <w:p>
            <w:pPr>
              <w:jc w:val="center"/>
              <w:rPr>
                <w:sz w:val="22"/>
                <w:szCs w:val="22"/>
                <w:lang w:eastAsia="lt-LT"/>
              </w:rPr>
            </w:pPr>
            <w:r>
              <w:rPr>
                <w:sz w:val="22"/>
                <w:szCs w:val="22"/>
                <w:lang w:eastAsia="lt-LT"/>
              </w:rPr>
              <w:t>64-QAM 5/6</w:t>
            </w:r>
          </w:p>
        </w:tc>
        <w:tc>
          <w:tcPr>
            <w:tcW w:w="2268" w:type="dxa"/>
            <w:vAlign w:val="bottom"/>
          </w:tcPr>
          <w:p>
            <w:pPr>
              <w:jc w:val="center"/>
              <w:rPr>
                <w:color w:val="000000"/>
                <w:sz w:val="22"/>
                <w:szCs w:val="22"/>
                <w:lang w:eastAsia="lt-LT"/>
              </w:rPr>
            </w:pPr>
            <w:r>
              <w:rPr>
                <w:color w:val="000000"/>
                <w:sz w:val="22"/>
                <w:szCs w:val="22"/>
                <w:lang w:eastAsia="lt-LT"/>
              </w:rPr>
              <w:t>-2</w:t>
            </w:r>
          </w:p>
        </w:tc>
      </w:tr>
      <w:tr>
        <w:tc>
          <w:tcPr>
            <w:tcW w:w="3543" w:type="dxa"/>
          </w:tcPr>
          <w:p>
            <w:pPr>
              <w:jc w:val="center"/>
              <w:rPr>
                <w:sz w:val="22"/>
                <w:szCs w:val="22"/>
                <w:lang w:eastAsia="lt-LT"/>
              </w:rPr>
            </w:pPr>
            <w:r>
              <w:rPr>
                <w:sz w:val="22"/>
                <w:szCs w:val="22"/>
                <w:lang w:eastAsia="lt-LT"/>
              </w:rPr>
              <w:t>64-QAM 7/8</w:t>
            </w:r>
          </w:p>
        </w:tc>
        <w:tc>
          <w:tcPr>
            <w:tcW w:w="2268" w:type="dxa"/>
            <w:vAlign w:val="bottom"/>
          </w:tcPr>
          <w:p>
            <w:pPr>
              <w:jc w:val="center"/>
              <w:rPr>
                <w:color w:val="000000"/>
                <w:sz w:val="22"/>
                <w:szCs w:val="22"/>
                <w:lang w:eastAsia="lt-LT"/>
              </w:rPr>
            </w:pPr>
            <w:r>
              <w:rPr>
                <w:color w:val="000000"/>
                <w:sz w:val="22"/>
                <w:szCs w:val="22"/>
                <w:lang w:eastAsia="lt-LT"/>
              </w:rPr>
              <w:t>-3</w:t>
            </w:r>
          </w:p>
        </w:tc>
      </w:tr>
    </w:tbl>
    <w:p>
      <w:pPr>
        <w:rPr>
          <w:sz w:val="10"/>
          <w:szCs w:val="10"/>
          <w:lang w:eastAsia="lt-LT"/>
        </w:rPr>
      </w:pPr>
    </w:p>
    <w:p>
      <w:pPr>
        <w:ind w:firstLine="567"/>
        <w:jc w:val="both"/>
        <w:rPr>
          <w:szCs w:val="24"/>
          <w:lang w:eastAsia="ar-SA"/>
        </w:rPr>
      </w:pPr>
    </w:p>
    <w:p>
      <w:pPr>
        <w:rPr>
          <w:sz w:val="10"/>
          <w:szCs w:val="10"/>
          <w:lang w:eastAsia="lt-LT"/>
        </w:rPr>
      </w:pPr>
    </w:p>
    <w:p>
      <w:pPr>
        <w:ind w:firstLine="567"/>
        <w:jc w:val="both"/>
        <w:rPr>
          <w:szCs w:val="24"/>
          <w:lang w:eastAsia="ar-SA"/>
        </w:rPr>
      </w:pPr>
      <w:r>
        <w:rPr>
          <w:szCs w:val="24"/>
          <w:lang w:eastAsia="ar-SA"/>
        </w:rPr>
        <w:t>4</w:t>
      </w:r>
      <w:r>
        <w:rPr>
          <w:szCs w:val="24"/>
          <w:lang w:eastAsia="ar-SA"/>
        </w:rPr>
        <w:t xml:space="preserve">. Didesnio nei 5 MHz pločio kanalams didžiausios leistinos vertės gaunamos imant su šiuo kanalu persiklojančių 5 MHz pločio kanalų mažiausią vertę. </w:t>
      </w:r>
    </w:p>
    <w:p>
      <w:pPr>
        <w:ind w:firstLine="567"/>
        <w:jc w:val="both"/>
        <w:rPr>
          <w:szCs w:val="24"/>
          <w:lang w:eastAsia="ar-SA"/>
        </w:rPr>
      </w:pPr>
      <w:r>
        <w:rPr>
          <w:szCs w:val="24"/>
          <w:lang w:eastAsia="ar-SA"/>
        </w:rPr>
        <w:t>5</w:t>
      </w:r>
      <w:r>
        <w:rPr>
          <w:szCs w:val="24"/>
          <w:lang w:eastAsia="ar-SA"/>
        </w:rPr>
        <w:t>. Šio priedo 1 ir 2 punktų lentelėse nurodytos vertės nustatytos esant fiksuotajam DVB-T priėmimui patikimo televizijos signalo priėmimo zonoje, t. y. ten, kur DVB-T signalo lygis yra didesnis nei 20log(</w:t>
      </w:r>
      <w:r>
        <w:rPr>
          <w:i/>
          <w:szCs w:val="24"/>
          <w:lang w:eastAsia="ar-SA"/>
        </w:rPr>
        <w:t>f</w:t>
      </w:r>
      <w:r>
        <w:rPr>
          <w:szCs w:val="24"/>
          <w:lang w:eastAsia="ar-SA"/>
        </w:rPr>
        <w:t xml:space="preserve">/500)+44 [dBµV/m/8MHz], kur </w:t>
      </w:r>
      <w:r>
        <w:rPr>
          <w:i/>
          <w:szCs w:val="24"/>
          <w:lang w:eastAsia="ar-SA"/>
        </w:rPr>
        <w:t>f</w:t>
      </w:r>
      <w:r>
        <w:rPr>
          <w:szCs w:val="24"/>
          <w:lang w:eastAsia="ar-SA"/>
        </w:rPr>
        <w:t xml:space="preserve"> yra DVB-T kanalo centrinis dažnis MHz.</w:t>
      </w:r>
    </w:p>
    <w:p>
      <w:pPr>
        <w:tabs>
          <w:tab w:val="left" w:pos="709"/>
        </w:tabs>
        <w:suppressAutoHyphens/>
        <w:ind w:firstLine="567"/>
        <w:jc w:val="both"/>
        <w:textAlignment w:val="center"/>
        <w:rPr>
          <w:color w:val="000000"/>
          <w:szCs w:val="24"/>
        </w:rPr>
      </w:pPr>
      <w:r>
        <w:rPr>
          <w:color w:val="000000"/>
          <w:szCs w:val="24"/>
          <w:lang w:eastAsia="ar-SA"/>
        </w:rPr>
        <w:t>6</w:t>
      </w:r>
      <w:r>
        <w:rPr>
          <w:color w:val="000000"/>
          <w:szCs w:val="24"/>
          <w:lang w:eastAsia="ar-SA"/>
        </w:rPr>
        <w:t xml:space="preserve">. Signalo lygis matuojamas naudojant 12 dBd anteną 10 m virš žemės paviršiaus. Miestuose signalo lygis matuojamas iškėlus anteną 2 m virš pastato. Antenos poliarizacija parenkama taip, jog ji atitiktų matuojamoje teritorijoje priimamo DVB-T signalo poliarizaciją pagal </w:t>
      </w:r>
      <w:r>
        <w:rPr>
          <w:color w:val="000000"/>
          <w:szCs w:val="24"/>
        </w:rPr>
        <w:t xml:space="preserve">Tarptautinės telekomunikacijų sąjungos </w:t>
      </w:r>
      <w:r>
        <w:rPr>
          <w:color w:val="000000"/>
          <w:szCs w:val="24"/>
          <w:lang w:eastAsia="ar-SA"/>
        </w:rPr>
        <w:t>rekomendaciją ITU-R BT.419 „Televizijos priėmimo antenų kryptingumas ir poliarizacijos išskyrimas“. Matavimai vykdomi nukreipiant anteną stipriausio DVB-T signalo priėmimo kryptimi.</w:t>
      </w:r>
      <w:r>
        <w:rPr>
          <w:color w:val="000000"/>
          <w:szCs w:val="24"/>
        </w:rPr>
        <w:t xml:space="preserve"> </w:t>
      </w:r>
    </w:p>
    <w:p>
      <w:pPr>
        <w:tabs>
          <w:tab w:val="left" w:pos="709"/>
        </w:tabs>
        <w:suppressAutoHyphens/>
        <w:ind w:firstLine="567"/>
        <w:jc w:val="both"/>
        <w:textAlignment w:val="center"/>
        <w:rPr>
          <w:color w:val="000000"/>
          <w:szCs w:val="24"/>
        </w:rPr>
      </w:pPr>
    </w:p>
    <w:p>
      <w:pPr>
        <w:tabs>
          <w:tab w:val="left" w:pos="1134"/>
        </w:tabs>
        <w:suppressAutoHyphens/>
        <w:jc w:val="center"/>
        <w:textAlignment w:val="center"/>
        <w:rPr>
          <w:color w:val="000000"/>
          <w:szCs w:val="24"/>
        </w:rPr>
      </w:pPr>
      <w:r>
        <w:rPr>
          <w:color w:val="000000"/>
          <w:szCs w:val="24"/>
        </w:rPr>
        <w:t>_________________</w:t>
      </w:r>
    </w:p>
    <w:p>
      <w:pPr>
        <w:tabs>
          <w:tab w:val="left" w:pos="1134"/>
        </w:tabs>
        <w:suppressAutoHyphens/>
        <w:textAlignment w:val="center"/>
        <w:sectPr>
          <w:pgSz w:w="11907" w:h="16840" w:code="9"/>
          <w:pgMar w:top="1701" w:right="567" w:bottom="1134" w:left="1701" w:header="709" w:footer="709" w:gutter="0"/>
          <w:pgNumType w:start="1"/>
          <w:cols w:space="708"/>
          <w:titlePg/>
          <w:docGrid w:linePitch="326"/>
        </w:sectPr>
      </w:pPr>
    </w:p>
    <w:p>
      <w:pPr>
        <w:tabs>
          <w:tab w:val="left" w:pos="1134"/>
        </w:tabs>
        <w:suppressAutoHyphens/>
        <w:ind w:left="4535"/>
        <w:textAlignment w:val="center"/>
        <w:rPr>
          <w:color w:val="000000"/>
          <w:szCs w:val="24"/>
        </w:rPr>
      </w:pPr>
      <w:r>
        <w:rPr>
          <w:color w:val="000000"/>
          <w:szCs w:val="24"/>
        </w:rPr>
        <w:t>Radijo ryšio plėtros 790–862 MHz radijo dažnių juostoje plano</w:t>
      </w:r>
    </w:p>
    <w:p>
      <w:pPr>
        <w:tabs>
          <w:tab w:val="left" w:pos="1134"/>
        </w:tabs>
        <w:suppressAutoHyphens/>
        <w:ind w:left="4535"/>
        <w:textAlignment w:val="center"/>
        <w:rPr>
          <w:color w:val="000000"/>
          <w:szCs w:val="24"/>
        </w:rPr>
      </w:pPr>
      <w:r>
        <w:rPr>
          <w:color w:val="000000"/>
          <w:szCs w:val="24"/>
        </w:rPr>
        <w:t>2</w:t>
      </w:r>
      <w:r>
        <w:rPr>
          <w:color w:val="000000"/>
          <w:szCs w:val="24"/>
        </w:rPr>
        <w:t xml:space="preserve"> priedas</w:t>
      </w:r>
    </w:p>
    <w:p>
      <w:pPr>
        <w:jc w:val="right"/>
        <w:rPr>
          <w:szCs w:val="24"/>
          <w:lang w:eastAsia="lt-LT"/>
        </w:rPr>
      </w:pPr>
    </w:p>
    <w:p>
      <w:pPr>
        <w:jc w:val="center"/>
        <w:rPr>
          <w:b/>
          <w:caps/>
          <w:szCs w:val="24"/>
          <w:lang w:eastAsia="lt-LT"/>
        </w:rPr>
      </w:pPr>
      <w:r>
        <w:rPr>
          <w:b/>
          <w:caps/>
          <w:szCs w:val="24"/>
          <w:lang w:eastAsia="lt-LT"/>
        </w:rPr>
        <w:t>SU UŽSIENIO VALSTYBĖMIS SUDERINTOS RADIJO DAŽNIŲ (KANALŲ) NAUDOJIMO Sąlygos</w:t>
      </w:r>
    </w:p>
    <w:p>
      <w:pPr>
        <w:jc w:val="center"/>
        <w:rPr>
          <w:szCs w:val="24"/>
          <w:lang w:eastAsia="lt-LT"/>
        </w:rPr>
      </w:pPr>
    </w:p>
    <w:p>
      <w:pPr>
        <w:tabs>
          <w:tab w:val="left" w:pos="567"/>
        </w:tabs>
        <w:ind w:firstLine="567"/>
        <w:jc w:val="both"/>
        <w:rPr>
          <w:szCs w:val="24"/>
          <w:lang w:eastAsia="lt-LT"/>
        </w:rPr>
      </w:pPr>
      <w:r>
        <w:rPr>
          <w:szCs w:val="24"/>
          <w:lang w:eastAsia="lt-LT"/>
        </w:rPr>
        <w:t>1</w:t>
      </w:r>
      <w:r>
        <w:rPr>
          <w:szCs w:val="24"/>
          <w:lang w:eastAsia="lt-LT"/>
        </w:rPr>
        <w:t>. Be koordinavimo su Latvijos Respublika ir Lenkijos Respublika galima naudoti radijo dažnius (kanalus) iš 790–821 MHz ir 832–862 MHz radijo dažnių juostų, kai:</w:t>
      </w:r>
    </w:p>
    <w:p>
      <w:pPr>
        <w:ind w:firstLine="567"/>
        <w:jc w:val="both"/>
        <w:rPr>
          <w:szCs w:val="24"/>
          <w:lang w:eastAsia="lt-LT"/>
        </w:rPr>
      </w:pPr>
      <w:r>
        <w:rPr>
          <w:szCs w:val="24"/>
          <w:lang w:eastAsia="lt-LT"/>
        </w:rPr>
        <w:t>1.1</w:t>
      </w:r>
      <w:r>
        <w:rPr>
          <w:szCs w:val="24"/>
          <w:lang w:eastAsia="lt-LT"/>
        </w:rPr>
        <w:t xml:space="preserve">. LTE (angl. </w:t>
      </w:r>
      <w:r>
        <w:rPr>
          <w:i/>
          <w:szCs w:val="24"/>
          <w:lang w:eastAsia="lt-LT"/>
        </w:rPr>
        <w:t>Long Term Evolution</w:t>
      </w:r>
      <w:r>
        <w:rPr>
          <w:szCs w:val="24"/>
          <w:lang w:eastAsia="lt-LT"/>
        </w:rPr>
        <w:t xml:space="preserve">) tinklo bazinės stoties visų sektoriaus siųstuvų kuriamas vidutinis lauko stipris ties Lietuvos Respublikos valstybės siena (toliau – valstybės siena) neviršija 59 dB(µV/m)/5 MHz ir neviršija 41 dB(µV/m)/5 MHz 6 km atstumu nuo valstybės sienos į užsienio valstybės teritoriją; LTE tinklo bazinei stočiai priskiriamas tik prioritetinis LTE fizinis narvelio identifikatorius (angl. </w:t>
      </w:r>
      <w:r>
        <w:rPr>
          <w:i/>
          <w:iCs/>
          <w:szCs w:val="24"/>
          <w:lang w:eastAsia="lt-LT"/>
        </w:rPr>
        <w:t>Physical Cell Identificator</w:t>
      </w:r>
      <w:r>
        <w:rPr>
          <w:iCs/>
          <w:szCs w:val="24"/>
          <w:lang w:eastAsia="lt-LT"/>
        </w:rPr>
        <w:t>, PCI</w:t>
      </w:r>
      <w:r>
        <w:rPr>
          <w:szCs w:val="24"/>
          <w:lang w:eastAsia="lt-LT"/>
        </w:rPr>
        <w:t>), kai šios stoties (visų sektoriaus siųstuvų) kuriamas vidutinis lauko stipris ties valstybės siena viršija 29 dB(µV/m)/5 MHz, kitu atveju pasirenkamas bet koks PCI;</w:t>
      </w:r>
    </w:p>
    <w:p>
      <w:pPr>
        <w:ind w:firstLine="567"/>
        <w:jc w:val="both"/>
        <w:rPr>
          <w:szCs w:val="24"/>
          <w:lang w:eastAsia="lt-LT"/>
        </w:rPr>
      </w:pPr>
      <w:r>
        <w:rPr>
          <w:szCs w:val="24"/>
          <w:lang w:eastAsia="lt-LT"/>
        </w:rPr>
        <w:t>1.2</w:t>
      </w:r>
      <w:r>
        <w:rPr>
          <w:szCs w:val="24"/>
          <w:lang w:eastAsia="lt-LT"/>
        </w:rPr>
        <w:t xml:space="preserve">. Antžeminių sistemų, išskyrus LTE tinklus, bazinės stoties visų sektoriaus siųstuvų kuriamas vidutinis lauko stipris ties valstybės siena neviršija 55 dB(µV/m)/5 MHz ir neviršija </w:t>
        <w:br/>
        <w:t>29 dB(µV/m)/5 MHz  9 km atstumu nuo valstybės sienos į užsienio valstybės teritoriją.</w:t>
      </w:r>
    </w:p>
    <w:p>
      <w:pPr>
        <w:tabs>
          <w:tab w:val="left" w:pos="567"/>
        </w:tabs>
        <w:ind w:firstLine="567"/>
        <w:rPr>
          <w:szCs w:val="24"/>
          <w:lang w:eastAsia="lt-LT"/>
        </w:rPr>
      </w:pPr>
      <w:r>
        <w:rPr>
          <w:szCs w:val="24"/>
          <w:lang w:eastAsia="lt-LT"/>
        </w:rPr>
        <w:t>2</w:t>
      </w:r>
      <w:r>
        <w:rPr>
          <w:szCs w:val="24"/>
          <w:lang w:eastAsia="lt-LT"/>
        </w:rPr>
        <w:t>. Šio priedo 3 punkto lentelėje vartojami sutrumpinimai:</w:t>
      </w:r>
    </w:p>
    <w:p>
      <w:pPr>
        <w:tabs>
          <w:tab w:val="left" w:pos="709"/>
          <w:tab w:val="left" w:pos="851"/>
        </w:tabs>
        <w:ind w:firstLine="567"/>
        <w:jc w:val="both"/>
        <w:rPr>
          <w:szCs w:val="24"/>
          <w:lang w:eastAsia="lt-LT"/>
        </w:rPr>
      </w:pPr>
      <w:r>
        <w:rPr>
          <w:szCs w:val="24"/>
          <w:lang w:eastAsia="lt-LT"/>
        </w:rPr>
        <w:t>2.1</w:t>
      </w:r>
      <w:r>
        <w:rPr>
          <w:szCs w:val="24"/>
          <w:lang w:eastAsia="lt-LT"/>
        </w:rPr>
        <w:t xml:space="preserve">. </w:t>
      </w:r>
      <w:r>
        <w:rPr>
          <w:b/>
          <w:szCs w:val="24"/>
          <w:lang w:eastAsia="lt-LT"/>
        </w:rPr>
        <w:t>Sienos dalis A</w:t>
      </w:r>
      <w:r>
        <w:rPr>
          <w:szCs w:val="24"/>
          <w:lang w:eastAsia="lt-LT"/>
        </w:rPr>
        <w:t xml:space="preserve"> – valstybės sienos su Rusijos Federacija dalis į vakarus nuo taško, kurio geografinės koordinatės yra 55</w:t>
      </w:r>
      <w:r>
        <w:rPr>
          <w:szCs w:val="24"/>
          <w:vertAlign w:val="superscript"/>
          <w:lang w:eastAsia="lt-LT"/>
        </w:rPr>
        <w:t>o</w:t>
      </w:r>
      <w:r>
        <w:rPr>
          <w:szCs w:val="24"/>
          <w:lang w:eastAsia="lt-LT"/>
        </w:rPr>
        <w:t>15ʹ šiaurės platumos ir 21</w:t>
      </w:r>
      <w:r>
        <w:rPr>
          <w:szCs w:val="24"/>
          <w:vertAlign w:val="superscript"/>
          <w:lang w:eastAsia="lt-LT"/>
        </w:rPr>
        <w:t>o</w:t>
      </w:r>
      <w:r>
        <w:rPr>
          <w:szCs w:val="24"/>
          <w:lang w:eastAsia="lt-LT"/>
        </w:rPr>
        <w:t>07ʹ rytų ilgumos.</w:t>
      </w:r>
    </w:p>
    <w:p>
      <w:pPr>
        <w:tabs>
          <w:tab w:val="left" w:pos="709"/>
          <w:tab w:val="left" w:pos="851"/>
        </w:tabs>
        <w:ind w:firstLine="567"/>
        <w:jc w:val="both"/>
        <w:rPr>
          <w:szCs w:val="24"/>
          <w:lang w:eastAsia="lt-LT"/>
        </w:rPr>
      </w:pPr>
      <w:r>
        <w:rPr>
          <w:szCs w:val="24"/>
          <w:lang w:eastAsia="lt-LT"/>
        </w:rPr>
        <w:t>2.2</w:t>
      </w:r>
      <w:r>
        <w:rPr>
          <w:szCs w:val="24"/>
          <w:lang w:eastAsia="lt-LT"/>
        </w:rPr>
        <w:t xml:space="preserve">. </w:t>
      </w:r>
      <w:r>
        <w:rPr>
          <w:b/>
          <w:szCs w:val="24"/>
          <w:lang w:eastAsia="lt-LT"/>
        </w:rPr>
        <w:t>Sienos dalis B</w:t>
      </w:r>
      <w:r>
        <w:rPr>
          <w:szCs w:val="24"/>
          <w:lang w:eastAsia="lt-LT"/>
        </w:rPr>
        <w:t xml:space="preserve"> – valstybės sienos su Rusijos Federacija dalis tarp taškų, kurių geografinės koordinatės yra 55</w:t>
      </w:r>
      <w:r>
        <w:rPr>
          <w:szCs w:val="24"/>
          <w:vertAlign w:val="superscript"/>
          <w:lang w:eastAsia="lt-LT"/>
        </w:rPr>
        <w:t>o</w:t>
      </w:r>
      <w:r>
        <w:rPr>
          <w:szCs w:val="24"/>
          <w:lang w:eastAsia="lt-LT"/>
        </w:rPr>
        <w:t>15ʹ šiaurės platumos ir 21</w:t>
      </w:r>
      <w:r>
        <w:rPr>
          <w:szCs w:val="24"/>
          <w:vertAlign w:val="superscript"/>
          <w:lang w:eastAsia="lt-LT"/>
        </w:rPr>
        <w:t>o</w:t>
      </w:r>
      <w:r>
        <w:rPr>
          <w:szCs w:val="24"/>
          <w:lang w:eastAsia="lt-LT"/>
        </w:rPr>
        <w:t>07ʹ rytų ilgumos bei 55</w:t>
      </w:r>
      <w:r>
        <w:rPr>
          <w:szCs w:val="24"/>
          <w:vertAlign w:val="superscript"/>
          <w:lang w:eastAsia="lt-LT"/>
        </w:rPr>
        <w:t>o</w:t>
      </w:r>
      <w:r>
        <w:rPr>
          <w:szCs w:val="24"/>
          <w:lang w:eastAsia="lt-LT"/>
        </w:rPr>
        <w:t>04ʹ šiaurės platumos ir 22</w:t>
      </w:r>
      <w:r>
        <w:rPr>
          <w:szCs w:val="24"/>
          <w:vertAlign w:val="superscript"/>
          <w:lang w:eastAsia="lt-LT"/>
        </w:rPr>
        <w:t>o</w:t>
      </w:r>
      <w:r>
        <w:rPr>
          <w:szCs w:val="24"/>
          <w:lang w:eastAsia="lt-LT"/>
        </w:rPr>
        <w:t>34ʹ rytų ilgumos.</w:t>
      </w:r>
    </w:p>
    <w:p>
      <w:pPr>
        <w:tabs>
          <w:tab w:val="left" w:pos="709"/>
          <w:tab w:val="left" w:pos="851"/>
        </w:tabs>
        <w:ind w:firstLine="567"/>
        <w:jc w:val="both"/>
        <w:rPr>
          <w:szCs w:val="24"/>
          <w:lang w:eastAsia="lt-LT"/>
        </w:rPr>
      </w:pPr>
      <w:r>
        <w:rPr>
          <w:szCs w:val="24"/>
          <w:lang w:eastAsia="lt-LT"/>
        </w:rPr>
        <w:t>2.3</w:t>
      </w:r>
      <w:r>
        <w:rPr>
          <w:szCs w:val="24"/>
          <w:lang w:eastAsia="lt-LT"/>
        </w:rPr>
        <w:t xml:space="preserve">. </w:t>
      </w:r>
      <w:r>
        <w:rPr>
          <w:b/>
          <w:szCs w:val="24"/>
          <w:lang w:eastAsia="lt-LT"/>
        </w:rPr>
        <w:t>Sienos dalis C</w:t>
      </w:r>
      <w:r>
        <w:rPr>
          <w:szCs w:val="24"/>
          <w:lang w:eastAsia="lt-LT"/>
        </w:rPr>
        <w:t xml:space="preserve"> – valstybės sienos su Rusijos Federacija dalis į rytus nuo geografinio taško, kurio geografinės koordinatės yra 55</w:t>
      </w:r>
      <w:r>
        <w:rPr>
          <w:szCs w:val="24"/>
          <w:vertAlign w:val="superscript"/>
          <w:lang w:eastAsia="lt-LT"/>
        </w:rPr>
        <w:t>o</w:t>
      </w:r>
      <w:r>
        <w:rPr>
          <w:szCs w:val="24"/>
          <w:lang w:eastAsia="lt-LT"/>
        </w:rPr>
        <w:t>04ʹ šiaurės platumos ir 22</w:t>
      </w:r>
      <w:r>
        <w:rPr>
          <w:szCs w:val="24"/>
          <w:vertAlign w:val="superscript"/>
          <w:lang w:eastAsia="lt-LT"/>
        </w:rPr>
        <w:t>o</w:t>
      </w:r>
      <w:r>
        <w:rPr>
          <w:szCs w:val="24"/>
          <w:lang w:eastAsia="lt-LT"/>
        </w:rPr>
        <w:t>34ʹ rytų ilgumos.</w:t>
      </w:r>
    </w:p>
    <w:p>
      <w:pPr>
        <w:tabs>
          <w:tab w:val="left" w:pos="709"/>
          <w:tab w:val="left" w:pos="851"/>
        </w:tabs>
        <w:ind w:firstLine="567"/>
        <w:jc w:val="both"/>
        <w:rPr>
          <w:szCs w:val="24"/>
          <w:lang w:eastAsia="lt-LT"/>
        </w:rPr>
      </w:pPr>
      <w:r>
        <w:rPr>
          <w:szCs w:val="24"/>
          <w:lang w:eastAsia="lt-LT"/>
        </w:rPr>
        <w:t>2.4</w:t>
      </w:r>
      <w:r>
        <w:rPr>
          <w:szCs w:val="24"/>
          <w:lang w:eastAsia="lt-LT"/>
        </w:rPr>
        <w:t xml:space="preserve">. </w:t>
      </w:r>
      <w:r>
        <w:rPr>
          <w:b/>
          <w:szCs w:val="24"/>
          <w:lang w:eastAsia="lt-LT"/>
        </w:rPr>
        <w:t>F</w:t>
      </w:r>
      <w:r>
        <w:rPr>
          <w:szCs w:val="24"/>
          <w:lang w:eastAsia="lt-LT"/>
        </w:rPr>
        <w:t xml:space="preserve"> – didžiausias leistinas apskaičiuotas vidutinis bazinės stoties elektromagnetinio lauko stipris, sukuriamas 10 m aukštyje ties valstybės siena.</w:t>
      </w:r>
    </w:p>
    <w:p>
      <w:pPr>
        <w:tabs>
          <w:tab w:val="left" w:pos="709"/>
          <w:tab w:val="left" w:pos="851"/>
        </w:tabs>
        <w:ind w:firstLine="567"/>
        <w:jc w:val="both"/>
        <w:rPr>
          <w:szCs w:val="24"/>
          <w:lang w:eastAsia="lt-LT"/>
        </w:rPr>
      </w:pPr>
      <w:r>
        <w:rPr>
          <w:szCs w:val="24"/>
          <w:lang w:eastAsia="lt-LT"/>
        </w:rPr>
        <w:t>2.5</w:t>
      </w:r>
      <w:r>
        <w:rPr>
          <w:szCs w:val="24"/>
          <w:lang w:eastAsia="lt-LT"/>
        </w:rPr>
        <w:t xml:space="preserve">. </w:t>
      </w:r>
      <w:r>
        <w:rPr>
          <w:b/>
          <w:szCs w:val="24"/>
          <w:lang w:eastAsia="lt-LT"/>
        </w:rPr>
        <w:t>E60</w:t>
      </w:r>
      <w:r>
        <w:rPr>
          <w:szCs w:val="24"/>
          <w:lang w:eastAsia="lt-LT"/>
        </w:rPr>
        <w:t xml:space="preserve"> – bazinių stočių, esančių arčiau kaip 60 km atstumu nuo valstybės sienos, didžiausia leistina efektinė izotropinė spinduliuotės galia (toliau – EIRP) bet kuria kryptimi link valstybės sienos. Tokių stočių efektinis antenos aukštis bet kuria kryptimi link valstybės sienos su Rusijos Federacija negali viršyti 60 m.</w:t>
      </w:r>
    </w:p>
    <w:p>
      <w:pPr>
        <w:tabs>
          <w:tab w:val="left" w:pos="709"/>
          <w:tab w:val="left" w:pos="851"/>
        </w:tabs>
        <w:ind w:firstLine="567"/>
        <w:jc w:val="both"/>
        <w:rPr>
          <w:szCs w:val="24"/>
          <w:lang w:eastAsia="lt-LT"/>
        </w:rPr>
      </w:pPr>
      <w:r>
        <w:rPr>
          <w:szCs w:val="24"/>
          <w:lang w:eastAsia="lt-LT"/>
        </w:rPr>
        <w:t>2.6</w:t>
      </w:r>
      <w:r>
        <w:rPr>
          <w:szCs w:val="24"/>
          <w:lang w:eastAsia="lt-LT"/>
        </w:rPr>
        <w:t xml:space="preserve">. </w:t>
      </w:r>
      <w:r>
        <w:rPr>
          <w:b/>
          <w:szCs w:val="24"/>
          <w:lang w:eastAsia="lt-LT"/>
        </w:rPr>
        <w:t>E100 (D100)</w:t>
      </w:r>
      <w:r>
        <w:rPr>
          <w:szCs w:val="24"/>
          <w:lang w:eastAsia="lt-LT"/>
        </w:rPr>
        <w:t xml:space="preserve"> – bazinių stočių, esančių 60–100 km atstumu nuo valstybės sienos, didžiausia leistina EIRP bet kuria kryptimi link valstybės sienos, kai jų išdėstymo tankis turi būti ne daugiau kaip 100 bazinių stočių 100 km</w:t>
      </w:r>
      <w:r>
        <w:rPr>
          <w:szCs w:val="24"/>
          <w:vertAlign w:val="superscript"/>
          <w:lang w:eastAsia="lt-LT"/>
        </w:rPr>
        <w:t>2</w:t>
      </w:r>
      <w:r>
        <w:rPr>
          <w:szCs w:val="24"/>
          <w:lang w:eastAsia="lt-LT"/>
        </w:rPr>
        <w:t>.</w:t>
      </w:r>
    </w:p>
    <w:p>
      <w:pPr>
        <w:tabs>
          <w:tab w:val="left" w:pos="709"/>
          <w:tab w:val="left" w:pos="851"/>
        </w:tabs>
        <w:ind w:firstLine="567"/>
        <w:jc w:val="both"/>
        <w:rPr>
          <w:szCs w:val="24"/>
          <w:lang w:eastAsia="lt-LT"/>
        </w:rPr>
      </w:pPr>
      <w:r>
        <w:rPr>
          <w:szCs w:val="24"/>
          <w:lang w:eastAsia="lt-LT"/>
        </w:rPr>
        <w:t>2.7</w:t>
      </w:r>
      <w:r>
        <w:rPr>
          <w:szCs w:val="24"/>
          <w:lang w:eastAsia="lt-LT"/>
        </w:rPr>
        <w:t xml:space="preserve">. </w:t>
      </w:r>
      <w:r>
        <w:rPr>
          <w:b/>
          <w:szCs w:val="24"/>
          <w:lang w:eastAsia="lt-LT"/>
        </w:rPr>
        <w:t>E100 (D50)</w:t>
      </w:r>
      <w:r>
        <w:rPr>
          <w:szCs w:val="24"/>
          <w:lang w:eastAsia="lt-LT"/>
        </w:rPr>
        <w:t xml:space="preserve"> – bazinių stočių, esančių 60–100 km atstumu nuo valstybės sienos, didžiausia leistina EIRP bet kuria kryptimi link valstybės sienos, kai jų išdėstymo tankis turi būti ne daugiau kaip 50 bazinių stočių 100 km</w:t>
      </w:r>
      <w:r>
        <w:rPr>
          <w:szCs w:val="24"/>
          <w:vertAlign w:val="superscript"/>
          <w:lang w:eastAsia="lt-LT"/>
        </w:rPr>
        <w:t>2</w:t>
      </w:r>
      <w:r>
        <w:rPr>
          <w:szCs w:val="24"/>
          <w:lang w:eastAsia="lt-LT"/>
        </w:rPr>
        <w:t>.</w:t>
      </w:r>
    </w:p>
    <w:p>
      <w:pPr>
        <w:tabs>
          <w:tab w:val="left" w:pos="709"/>
          <w:tab w:val="left" w:pos="851"/>
        </w:tabs>
        <w:ind w:firstLine="567"/>
        <w:jc w:val="both"/>
        <w:rPr>
          <w:szCs w:val="24"/>
          <w:lang w:eastAsia="lt-LT"/>
        </w:rPr>
      </w:pPr>
      <w:r>
        <w:rPr>
          <w:szCs w:val="24"/>
          <w:lang w:eastAsia="lt-LT"/>
        </w:rPr>
        <w:t>2.8</w:t>
      </w:r>
      <w:r>
        <w:rPr>
          <w:szCs w:val="24"/>
          <w:lang w:eastAsia="lt-LT"/>
        </w:rPr>
        <w:t xml:space="preserve">. </w:t>
      </w:r>
      <w:r>
        <w:rPr>
          <w:b/>
          <w:szCs w:val="24"/>
          <w:lang w:eastAsia="lt-LT"/>
        </w:rPr>
        <w:t>Egal</w:t>
      </w:r>
      <w:r>
        <w:rPr>
          <w:szCs w:val="24"/>
          <w:lang w:eastAsia="lt-LT"/>
        </w:rPr>
        <w:t xml:space="preserve"> – paslaugų gavėjų radijo ryšio įrenginių, vienu metu palaikančių ryšį su viena bazine stotimi naudojant radijo dažnius (kanalus) iš bet kurios 5 MHz pločio radijo dažnių juostos, didžiausia leistina suminė EIRP.</w:t>
      </w:r>
    </w:p>
    <w:p>
      <w:pPr>
        <w:tabs>
          <w:tab w:val="left" w:pos="709"/>
          <w:tab w:val="left" w:pos="851"/>
        </w:tabs>
        <w:ind w:firstLine="567"/>
        <w:jc w:val="both"/>
        <w:rPr>
          <w:szCs w:val="24"/>
          <w:lang w:eastAsia="lt-LT"/>
        </w:rPr>
      </w:pPr>
      <w:r>
        <w:rPr>
          <w:szCs w:val="24"/>
          <w:lang w:eastAsia="lt-LT"/>
        </w:rPr>
        <w:t>2.9</w:t>
      </w:r>
      <w:r>
        <w:rPr>
          <w:szCs w:val="24"/>
          <w:lang w:eastAsia="lt-LT"/>
        </w:rPr>
        <w:t xml:space="preserve">. </w:t>
      </w:r>
      <w:r>
        <w:rPr>
          <w:b/>
          <w:szCs w:val="24"/>
          <w:lang w:eastAsia="lt-LT"/>
        </w:rPr>
        <w:t>Heff</w:t>
      </w:r>
      <w:r>
        <w:rPr>
          <w:szCs w:val="24"/>
          <w:lang w:eastAsia="lt-LT"/>
        </w:rPr>
        <w:t xml:space="preserve"> – bazinės stoties, esančios mažesniu kaip 60 km atstumu nuo valstybės sienos su Rusijos Federacija, didžiausias leistinas efektinis antenos aukštis bet kuria kryptimi link valstybės sienos su Rusijos Federacija.</w:t>
      </w:r>
    </w:p>
    <w:p>
      <w:pPr>
        <w:tabs>
          <w:tab w:val="left" w:pos="709"/>
          <w:tab w:val="left" w:pos="851"/>
        </w:tabs>
        <w:ind w:firstLine="567"/>
        <w:jc w:val="both"/>
        <w:rPr>
          <w:szCs w:val="24"/>
          <w:lang w:eastAsia="lt-LT"/>
        </w:rPr>
      </w:pPr>
      <w:r>
        <w:rPr>
          <w:szCs w:val="24"/>
          <w:lang w:eastAsia="lt-LT"/>
        </w:rPr>
        <w:t>2.10</w:t>
      </w:r>
      <w:r>
        <w:rPr>
          <w:szCs w:val="24"/>
          <w:lang w:eastAsia="lt-LT"/>
        </w:rPr>
        <w:t xml:space="preserve">. </w:t>
      </w:r>
      <w:r>
        <w:rPr>
          <w:b/>
          <w:szCs w:val="24"/>
          <w:lang w:eastAsia="lt-LT"/>
        </w:rPr>
        <w:t>D0</w:t>
      </w:r>
      <w:r>
        <w:rPr>
          <w:szCs w:val="24"/>
          <w:lang w:eastAsia="lt-LT"/>
        </w:rPr>
        <w:t xml:space="preserve"> – atstumas nuo valstybės sienos, nustatantis zoną, kurioje neleidžiama diegti bazinių stočių.</w:t>
      </w:r>
    </w:p>
    <w:p>
      <w:pPr>
        <w:tabs>
          <w:tab w:val="left" w:pos="709"/>
          <w:tab w:val="left" w:pos="851"/>
        </w:tabs>
        <w:ind w:firstLine="567"/>
        <w:jc w:val="both"/>
        <w:rPr>
          <w:szCs w:val="24"/>
          <w:lang w:eastAsia="lt-LT"/>
        </w:rPr>
      </w:pPr>
      <w:r>
        <w:rPr>
          <w:szCs w:val="24"/>
          <w:lang w:eastAsia="lt-LT"/>
        </w:rPr>
        <w:t>2.11</w:t>
      </w:r>
      <w:r>
        <w:rPr>
          <w:szCs w:val="24"/>
          <w:lang w:eastAsia="lt-LT"/>
        </w:rPr>
        <w:t xml:space="preserve">. </w:t>
      </w:r>
      <w:r>
        <w:rPr>
          <w:b/>
          <w:szCs w:val="24"/>
          <w:lang w:eastAsia="lt-LT"/>
        </w:rPr>
        <w:t>D1</w:t>
      </w:r>
      <w:r>
        <w:rPr>
          <w:szCs w:val="24"/>
          <w:lang w:eastAsia="lt-LT"/>
        </w:rPr>
        <w:t xml:space="preserve"> – atstumas nuo valstybės sienos, nustatantis zoną, kurioje bazinių stočių išdėstymo tankis turi būti ne daugiau kaip viena bazinė stotis 100 km</w:t>
      </w:r>
      <w:r>
        <w:rPr>
          <w:szCs w:val="24"/>
          <w:vertAlign w:val="superscript"/>
          <w:lang w:eastAsia="lt-LT"/>
        </w:rPr>
        <w:t>2</w:t>
      </w:r>
      <w:r>
        <w:rPr>
          <w:szCs w:val="24"/>
          <w:lang w:eastAsia="lt-LT"/>
        </w:rPr>
        <w:t>.</w:t>
      </w:r>
    </w:p>
    <w:p>
      <w:pPr>
        <w:tabs>
          <w:tab w:val="left" w:pos="709"/>
          <w:tab w:val="left" w:pos="851"/>
        </w:tabs>
        <w:ind w:firstLine="567"/>
        <w:jc w:val="both"/>
        <w:rPr>
          <w:szCs w:val="24"/>
          <w:lang w:eastAsia="lt-LT"/>
        </w:rPr>
      </w:pPr>
      <w:r>
        <w:rPr>
          <w:szCs w:val="24"/>
          <w:lang w:eastAsia="lt-LT"/>
        </w:rPr>
        <w:t>2.12</w:t>
      </w:r>
      <w:r>
        <w:rPr>
          <w:szCs w:val="24"/>
          <w:lang w:eastAsia="lt-LT"/>
        </w:rPr>
        <w:t xml:space="preserve">. </w:t>
      </w:r>
      <w:r>
        <w:rPr>
          <w:b/>
          <w:szCs w:val="24"/>
          <w:lang w:eastAsia="lt-LT"/>
        </w:rPr>
        <w:t>D10</w:t>
      </w:r>
      <w:r>
        <w:rPr>
          <w:szCs w:val="24"/>
          <w:lang w:eastAsia="lt-LT"/>
        </w:rPr>
        <w:t xml:space="preserve"> – atstumas nuo valstybės sienos, nustatantis zoną, kurioje bazinių stočių išdėstymo tankis turi būti ne daugiau kaip 10 bazinių stočių 100 km</w:t>
      </w:r>
      <w:r>
        <w:rPr>
          <w:szCs w:val="24"/>
          <w:vertAlign w:val="superscript"/>
          <w:lang w:eastAsia="lt-LT"/>
        </w:rPr>
        <w:t>2</w:t>
      </w:r>
      <w:r>
        <w:rPr>
          <w:szCs w:val="24"/>
          <w:lang w:eastAsia="lt-LT"/>
        </w:rPr>
        <w:t>.</w:t>
      </w:r>
    </w:p>
    <w:p>
      <w:pPr>
        <w:tabs>
          <w:tab w:val="left" w:pos="709"/>
          <w:tab w:val="left" w:pos="851"/>
        </w:tabs>
        <w:ind w:firstLine="567"/>
        <w:jc w:val="both"/>
        <w:rPr>
          <w:szCs w:val="24"/>
          <w:lang w:eastAsia="lt-LT"/>
        </w:rPr>
      </w:pPr>
      <w:r>
        <w:rPr>
          <w:szCs w:val="24"/>
          <w:lang w:eastAsia="lt-LT"/>
        </w:rPr>
        <w:t>2.13</w:t>
      </w:r>
      <w:r>
        <w:rPr>
          <w:szCs w:val="24"/>
          <w:lang w:eastAsia="lt-LT"/>
        </w:rPr>
        <w:t xml:space="preserve">. </w:t>
      </w:r>
      <w:r>
        <w:rPr>
          <w:b/>
          <w:szCs w:val="24"/>
          <w:lang w:eastAsia="lt-LT"/>
        </w:rPr>
        <w:t>D (paslaugos)</w:t>
      </w:r>
      <w:r>
        <w:rPr>
          <w:szCs w:val="24"/>
          <w:lang w:eastAsia="lt-LT"/>
        </w:rPr>
        <w:t xml:space="preserve"> – atstumas nuo valstybės sienos, nustatantis zoną, kurioje neleidžiama teikti elektroninių ryšių paslaugų.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cc55f0b26511e88f64a5ecc703f89b">
        <w:r w:rsidRPr="00532B9F">
          <w:rPr>
            <w:rFonts w:ascii="Times New Roman" w:eastAsia="MS Mincho" w:hAnsi="Times New Roman"/>
            <w:sz w:val="20"/>
            <w:i/>
            <w:iCs/>
            <w:color w:val="0000FF" w:themeColor="hyperlink"/>
            <w:u w:val="single"/>
          </w:rPr>
          <w:t>1V-836</w:t>
        </w:r>
      </w:fldSimple>
      <w:r>
        <w:rPr>
          <w:rFonts w:ascii="Times New Roman" w:eastAsia="MS Mincho" w:hAnsi="Times New Roman"/>
          <w:sz w:val="20"/>
          <w:i/>
          <w:iCs/>
        </w:rPr>
        <w:t>,
2018-09-06,
paskelbta TAR 2018-09-07, i. k. 2018-14200            </w:t>
      </w:r>
    </w:p>
    <w:p/>
    <w:p>
      <w:pPr>
        <w:tabs>
          <w:tab w:val="left" w:pos="567"/>
        </w:tabs>
        <w:ind w:firstLine="567"/>
        <w:jc w:val="both"/>
        <w:rPr>
          <w:szCs w:val="24"/>
          <w:lang w:eastAsia="lt-LT"/>
        </w:rPr>
      </w:pPr>
      <w:r>
        <w:rPr>
          <w:szCs w:val="24"/>
          <w:lang w:eastAsia="lt-LT"/>
        </w:rPr>
        <w:t>3</w:t>
      </w:r>
      <w:r>
        <w:rPr>
          <w:szCs w:val="24"/>
          <w:lang w:eastAsia="lt-LT"/>
        </w:rPr>
        <w:t>. Be koordinavimo su Rusijos Federacija galima naudoti radijo dažnius (kanalus) iš 790–820 MHz ir 832–862 MHz radijo dažnių juostų, kai bazinės stotys atitinka šioje lentelėje nurodytas sąlygas:</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66"/>
        <w:gridCol w:w="1968"/>
        <w:gridCol w:w="1984"/>
        <w:gridCol w:w="1905"/>
      </w:tblGrid>
      <w:tr>
        <w:trPr>
          <w:jc w:val="center"/>
        </w:trPr>
        <w:tc>
          <w:tcPr>
            <w:tcW w:w="790" w:type="dxa"/>
            <w:vMerge w:val="restart"/>
          </w:tcPr>
          <w:p>
            <w:pPr>
              <w:tabs>
                <w:tab w:val="left" w:pos="567"/>
              </w:tabs>
              <w:rPr>
                <w:szCs w:val="24"/>
                <w:lang w:eastAsia="lt-LT"/>
              </w:rPr>
            </w:pPr>
            <w:r>
              <w:rPr>
                <w:szCs w:val="24"/>
                <w:lang w:eastAsia="lt-LT"/>
              </w:rPr>
              <w:t>Nr.</w:t>
            </w:r>
          </w:p>
        </w:tc>
        <w:tc>
          <w:tcPr>
            <w:tcW w:w="2766" w:type="dxa"/>
            <w:vMerge w:val="restart"/>
          </w:tcPr>
          <w:p>
            <w:pPr>
              <w:tabs>
                <w:tab w:val="left" w:pos="567"/>
              </w:tabs>
              <w:rPr>
                <w:szCs w:val="24"/>
                <w:lang w:eastAsia="lt-LT"/>
              </w:rPr>
            </w:pPr>
            <w:r>
              <w:rPr>
                <w:szCs w:val="24"/>
                <w:lang w:eastAsia="lt-LT"/>
              </w:rPr>
              <w:t>Parametras</w:t>
            </w:r>
          </w:p>
        </w:tc>
        <w:tc>
          <w:tcPr>
            <w:tcW w:w="5857" w:type="dxa"/>
            <w:gridSpan w:val="3"/>
          </w:tcPr>
          <w:p>
            <w:pPr>
              <w:tabs>
                <w:tab w:val="left" w:pos="567"/>
              </w:tabs>
              <w:jc w:val="center"/>
              <w:rPr>
                <w:szCs w:val="24"/>
                <w:lang w:eastAsia="lt-LT"/>
              </w:rPr>
            </w:pPr>
            <w:r>
              <w:rPr>
                <w:szCs w:val="24"/>
                <w:lang w:eastAsia="lt-LT"/>
              </w:rPr>
              <w:t>Vertė</w:t>
            </w:r>
          </w:p>
        </w:tc>
      </w:tr>
      <w:tr>
        <w:trPr>
          <w:jc w:val="center"/>
        </w:trPr>
        <w:tc>
          <w:tcPr>
            <w:tcW w:w="790" w:type="dxa"/>
            <w:vMerge/>
            <w:vAlign w:val="center"/>
          </w:tcPr>
          <w:p>
            <w:pPr>
              <w:rPr>
                <w:szCs w:val="24"/>
                <w:lang w:eastAsia="lt-LT"/>
              </w:rPr>
            </w:pPr>
          </w:p>
        </w:tc>
        <w:tc>
          <w:tcPr>
            <w:tcW w:w="2766" w:type="dxa"/>
            <w:vMerge/>
            <w:vAlign w:val="center"/>
          </w:tcPr>
          <w:p>
            <w:pPr>
              <w:rPr>
                <w:szCs w:val="24"/>
                <w:lang w:eastAsia="lt-LT"/>
              </w:rPr>
            </w:pPr>
          </w:p>
        </w:tc>
        <w:tc>
          <w:tcPr>
            <w:tcW w:w="1968" w:type="dxa"/>
          </w:tcPr>
          <w:p>
            <w:pPr>
              <w:tabs>
                <w:tab w:val="left" w:pos="567"/>
              </w:tabs>
              <w:rPr>
                <w:szCs w:val="24"/>
                <w:lang w:eastAsia="lt-LT"/>
              </w:rPr>
            </w:pPr>
            <w:r>
              <w:rPr>
                <w:szCs w:val="24"/>
                <w:lang w:eastAsia="lt-LT"/>
              </w:rPr>
              <w:t>Sienos dalis A</w:t>
            </w:r>
          </w:p>
        </w:tc>
        <w:tc>
          <w:tcPr>
            <w:tcW w:w="1984" w:type="dxa"/>
          </w:tcPr>
          <w:p>
            <w:pPr>
              <w:tabs>
                <w:tab w:val="left" w:pos="567"/>
              </w:tabs>
              <w:rPr>
                <w:szCs w:val="24"/>
                <w:lang w:eastAsia="lt-LT"/>
              </w:rPr>
            </w:pPr>
            <w:r>
              <w:rPr>
                <w:szCs w:val="24"/>
                <w:lang w:eastAsia="lt-LT"/>
              </w:rPr>
              <w:t>Sienos dalis B</w:t>
            </w:r>
          </w:p>
        </w:tc>
        <w:tc>
          <w:tcPr>
            <w:tcW w:w="1905" w:type="dxa"/>
          </w:tcPr>
          <w:p>
            <w:pPr>
              <w:tabs>
                <w:tab w:val="left" w:pos="567"/>
              </w:tabs>
              <w:rPr>
                <w:szCs w:val="24"/>
                <w:lang w:eastAsia="lt-LT"/>
              </w:rPr>
            </w:pPr>
            <w:r>
              <w:rPr>
                <w:szCs w:val="24"/>
                <w:lang w:eastAsia="lt-LT"/>
              </w:rPr>
              <w:t>Sienos dalis C</w:t>
            </w:r>
          </w:p>
        </w:tc>
      </w:tr>
      <w:tr>
        <w:trPr>
          <w:jc w:val="center"/>
        </w:trPr>
        <w:tc>
          <w:tcPr>
            <w:tcW w:w="790" w:type="dxa"/>
          </w:tcPr>
          <w:p>
            <w:pPr>
              <w:tabs>
                <w:tab w:val="left" w:pos="567"/>
              </w:tabs>
              <w:rPr>
                <w:szCs w:val="24"/>
                <w:lang w:eastAsia="lt-LT"/>
              </w:rPr>
            </w:pPr>
            <w:r>
              <w:rPr>
                <w:szCs w:val="24"/>
                <w:lang w:eastAsia="lt-LT"/>
              </w:rPr>
              <w:t>1.</w:t>
            </w:r>
          </w:p>
        </w:tc>
        <w:tc>
          <w:tcPr>
            <w:tcW w:w="2766" w:type="dxa"/>
          </w:tcPr>
          <w:p>
            <w:pPr>
              <w:tabs>
                <w:tab w:val="left" w:pos="567"/>
              </w:tabs>
              <w:rPr>
                <w:szCs w:val="24"/>
                <w:lang w:eastAsia="lt-LT"/>
              </w:rPr>
            </w:pPr>
            <w:r>
              <w:rPr>
                <w:szCs w:val="24"/>
                <w:lang w:eastAsia="lt-LT"/>
              </w:rPr>
              <w:t>F, dB(µV/m) / 5 MHz</w:t>
            </w:r>
          </w:p>
        </w:tc>
        <w:tc>
          <w:tcPr>
            <w:tcW w:w="1968" w:type="dxa"/>
          </w:tcPr>
          <w:p>
            <w:pPr>
              <w:tabs>
                <w:tab w:val="left" w:pos="567"/>
              </w:tabs>
              <w:rPr>
                <w:szCs w:val="24"/>
                <w:lang w:eastAsia="lt-LT"/>
              </w:rPr>
            </w:pPr>
            <w:r>
              <w:rPr>
                <w:szCs w:val="24"/>
                <w:lang w:eastAsia="lt-LT"/>
              </w:rPr>
              <w:t>53</w:t>
            </w:r>
          </w:p>
        </w:tc>
        <w:tc>
          <w:tcPr>
            <w:tcW w:w="1984" w:type="dxa"/>
          </w:tcPr>
          <w:p>
            <w:pPr>
              <w:tabs>
                <w:tab w:val="left" w:pos="567"/>
              </w:tabs>
              <w:rPr>
                <w:szCs w:val="24"/>
                <w:lang w:eastAsia="lt-LT"/>
              </w:rPr>
            </w:pPr>
            <w:r>
              <w:rPr>
                <w:szCs w:val="24"/>
                <w:lang w:eastAsia="lt-LT"/>
              </w:rPr>
              <w:t>57, 58*</w:t>
            </w:r>
          </w:p>
        </w:tc>
        <w:tc>
          <w:tcPr>
            <w:tcW w:w="1905" w:type="dxa"/>
          </w:tcPr>
          <w:p>
            <w:pPr>
              <w:tabs>
                <w:tab w:val="left" w:pos="567"/>
              </w:tabs>
              <w:rPr>
                <w:strike/>
                <w:szCs w:val="24"/>
                <w:lang w:eastAsia="lt-LT"/>
              </w:rPr>
            </w:pPr>
            <w:r>
              <w:rPr>
                <w:szCs w:val="24"/>
                <w:lang w:eastAsia="lt-LT"/>
              </w:rPr>
              <w:t>58</w:t>
            </w:r>
          </w:p>
        </w:tc>
      </w:tr>
      <w:tr>
        <w:trPr>
          <w:jc w:val="center"/>
        </w:trPr>
        <w:tc>
          <w:tcPr>
            <w:tcW w:w="790" w:type="dxa"/>
          </w:tcPr>
          <w:p>
            <w:pPr>
              <w:tabs>
                <w:tab w:val="left" w:pos="567"/>
              </w:tabs>
              <w:rPr>
                <w:szCs w:val="24"/>
                <w:lang w:eastAsia="lt-LT"/>
              </w:rPr>
            </w:pPr>
            <w:r>
              <w:rPr>
                <w:szCs w:val="24"/>
                <w:lang w:eastAsia="lt-LT"/>
              </w:rPr>
              <w:t>2.</w:t>
            </w:r>
          </w:p>
        </w:tc>
        <w:tc>
          <w:tcPr>
            <w:tcW w:w="2766" w:type="dxa"/>
          </w:tcPr>
          <w:p>
            <w:pPr>
              <w:tabs>
                <w:tab w:val="left" w:pos="567"/>
              </w:tabs>
              <w:rPr>
                <w:szCs w:val="24"/>
                <w:lang w:eastAsia="lt-LT"/>
              </w:rPr>
            </w:pPr>
            <w:r>
              <w:rPr>
                <w:szCs w:val="24"/>
                <w:lang w:eastAsia="lt-LT"/>
              </w:rPr>
              <w:t>E60, dBm / 5 MHz</w:t>
            </w:r>
          </w:p>
        </w:tc>
        <w:tc>
          <w:tcPr>
            <w:tcW w:w="1968" w:type="dxa"/>
          </w:tcPr>
          <w:p>
            <w:pPr>
              <w:tabs>
                <w:tab w:val="left" w:pos="567"/>
              </w:tabs>
              <w:rPr>
                <w:szCs w:val="24"/>
                <w:lang w:eastAsia="lt-LT"/>
              </w:rPr>
            </w:pPr>
            <w:r>
              <w:rPr>
                <w:szCs w:val="24"/>
                <w:lang w:eastAsia="lt-LT"/>
              </w:rPr>
              <w:t>55</w:t>
            </w:r>
          </w:p>
        </w:tc>
        <w:tc>
          <w:tcPr>
            <w:tcW w:w="1984" w:type="dxa"/>
          </w:tcPr>
          <w:p>
            <w:pPr>
              <w:tabs>
                <w:tab w:val="left" w:pos="567"/>
              </w:tabs>
              <w:rPr>
                <w:szCs w:val="24"/>
                <w:lang w:eastAsia="lt-LT"/>
              </w:rPr>
            </w:pPr>
            <w:r>
              <w:rPr>
                <w:szCs w:val="24"/>
                <w:lang w:eastAsia="lt-LT"/>
              </w:rPr>
              <w:t>55</w:t>
            </w:r>
          </w:p>
        </w:tc>
        <w:tc>
          <w:tcPr>
            <w:tcW w:w="1905" w:type="dxa"/>
          </w:tcPr>
          <w:p>
            <w:pPr>
              <w:tabs>
                <w:tab w:val="left" w:pos="567"/>
              </w:tabs>
              <w:rPr>
                <w:strike/>
                <w:szCs w:val="24"/>
                <w:lang w:eastAsia="lt-LT"/>
              </w:rPr>
            </w:pPr>
            <w:r>
              <w:rPr>
                <w:szCs w:val="24"/>
                <w:lang w:eastAsia="lt-LT"/>
              </w:rPr>
              <w:t>55</w:t>
            </w:r>
          </w:p>
        </w:tc>
      </w:tr>
      <w:tr>
        <w:trPr>
          <w:jc w:val="center"/>
        </w:trPr>
        <w:tc>
          <w:tcPr>
            <w:tcW w:w="790" w:type="dxa"/>
          </w:tcPr>
          <w:p>
            <w:pPr>
              <w:tabs>
                <w:tab w:val="left" w:pos="567"/>
              </w:tabs>
              <w:rPr>
                <w:szCs w:val="24"/>
                <w:lang w:eastAsia="lt-LT"/>
              </w:rPr>
            </w:pPr>
            <w:r>
              <w:rPr>
                <w:szCs w:val="24"/>
                <w:lang w:eastAsia="lt-LT"/>
              </w:rPr>
              <w:t>3.</w:t>
            </w:r>
          </w:p>
        </w:tc>
        <w:tc>
          <w:tcPr>
            <w:tcW w:w="2766" w:type="dxa"/>
          </w:tcPr>
          <w:p>
            <w:pPr>
              <w:tabs>
                <w:tab w:val="left" w:pos="567"/>
              </w:tabs>
              <w:rPr>
                <w:szCs w:val="24"/>
                <w:lang w:eastAsia="lt-LT"/>
              </w:rPr>
            </w:pPr>
            <w:r>
              <w:rPr>
                <w:szCs w:val="24"/>
                <w:lang w:eastAsia="lt-LT"/>
              </w:rPr>
              <w:t>E100 (D100), dBm / 5 MHz</w:t>
            </w:r>
          </w:p>
        </w:tc>
        <w:tc>
          <w:tcPr>
            <w:tcW w:w="1968" w:type="dxa"/>
          </w:tcPr>
          <w:p>
            <w:pPr>
              <w:tabs>
                <w:tab w:val="left" w:pos="567"/>
              </w:tabs>
              <w:rPr>
                <w:szCs w:val="24"/>
                <w:lang w:eastAsia="lt-LT"/>
              </w:rPr>
            </w:pPr>
            <w:r>
              <w:rPr>
                <w:szCs w:val="24"/>
                <w:lang w:eastAsia="lt-LT"/>
              </w:rPr>
              <w:t>55</w:t>
            </w:r>
          </w:p>
        </w:tc>
        <w:tc>
          <w:tcPr>
            <w:tcW w:w="1984" w:type="dxa"/>
          </w:tcPr>
          <w:p>
            <w:pPr>
              <w:tabs>
                <w:tab w:val="left" w:pos="567"/>
              </w:tabs>
              <w:rPr>
                <w:szCs w:val="24"/>
                <w:lang w:eastAsia="lt-LT"/>
              </w:rPr>
            </w:pPr>
            <w:r>
              <w:rPr>
                <w:szCs w:val="24"/>
                <w:lang w:eastAsia="lt-LT"/>
              </w:rPr>
              <w:t>55</w:t>
            </w:r>
          </w:p>
        </w:tc>
        <w:tc>
          <w:tcPr>
            <w:tcW w:w="1905" w:type="dxa"/>
          </w:tcPr>
          <w:p>
            <w:pPr>
              <w:tabs>
                <w:tab w:val="left" w:pos="567"/>
              </w:tabs>
              <w:rPr>
                <w:strike/>
                <w:szCs w:val="24"/>
                <w:lang w:eastAsia="lt-LT"/>
              </w:rPr>
            </w:pPr>
            <w:r>
              <w:rPr>
                <w:szCs w:val="24"/>
                <w:lang w:eastAsia="lt-LT"/>
              </w:rPr>
              <w:t>55</w:t>
            </w:r>
          </w:p>
        </w:tc>
      </w:tr>
      <w:tr>
        <w:trPr>
          <w:jc w:val="center"/>
        </w:trPr>
        <w:tc>
          <w:tcPr>
            <w:tcW w:w="790" w:type="dxa"/>
          </w:tcPr>
          <w:p>
            <w:pPr>
              <w:tabs>
                <w:tab w:val="left" w:pos="567"/>
              </w:tabs>
              <w:rPr>
                <w:szCs w:val="24"/>
                <w:lang w:eastAsia="lt-LT"/>
              </w:rPr>
            </w:pPr>
            <w:r>
              <w:rPr>
                <w:szCs w:val="24"/>
                <w:lang w:eastAsia="lt-LT"/>
              </w:rPr>
              <w:t>4.</w:t>
            </w:r>
          </w:p>
        </w:tc>
        <w:tc>
          <w:tcPr>
            <w:tcW w:w="2766" w:type="dxa"/>
          </w:tcPr>
          <w:p>
            <w:pPr>
              <w:tabs>
                <w:tab w:val="left" w:pos="567"/>
              </w:tabs>
              <w:rPr>
                <w:szCs w:val="24"/>
                <w:lang w:eastAsia="lt-LT"/>
              </w:rPr>
            </w:pPr>
            <w:r>
              <w:rPr>
                <w:szCs w:val="24"/>
                <w:lang w:eastAsia="lt-LT"/>
              </w:rPr>
              <w:t>E100 (D50), dBm / 5 MHz</w:t>
            </w:r>
          </w:p>
        </w:tc>
        <w:tc>
          <w:tcPr>
            <w:tcW w:w="1968" w:type="dxa"/>
          </w:tcPr>
          <w:p>
            <w:pPr>
              <w:tabs>
                <w:tab w:val="left" w:pos="567"/>
              </w:tabs>
              <w:rPr>
                <w:szCs w:val="24"/>
                <w:lang w:eastAsia="lt-LT"/>
              </w:rPr>
            </w:pPr>
            <w:r>
              <w:rPr>
                <w:szCs w:val="24"/>
                <w:lang w:eastAsia="lt-LT"/>
              </w:rPr>
              <w:t>58</w:t>
            </w:r>
          </w:p>
        </w:tc>
        <w:tc>
          <w:tcPr>
            <w:tcW w:w="1984" w:type="dxa"/>
          </w:tcPr>
          <w:p>
            <w:pPr>
              <w:tabs>
                <w:tab w:val="left" w:pos="567"/>
              </w:tabs>
              <w:rPr>
                <w:szCs w:val="24"/>
                <w:lang w:eastAsia="lt-LT"/>
              </w:rPr>
            </w:pPr>
            <w:r>
              <w:rPr>
                <w:szCs w:val="24"/>
                <w:lang w:eastAsia="lt-LT"/>
              </w:rPr>
              <w:t>58</w:t>
            </w:r>
          </w:p>
        </w:tc>
        <w:tc>
          <w:tcPr>
            <w:tcW w:w="1905" w:type="dxa"/>
          </w:tcPr>
          <w:p>
            <w:pPr>
              <w:tabs>
                <w:tab w:val="left" w:pos="567"/>
              </w:tabs>
              <w:rPr>
                <w:strike/>
                <w:szCs w:val="24"/>
                <w:lang w:eastAsia="lt-LT"/>
              </w:rPr>
            </w:pPr>
            <w:r>
              <w:rPr>
                <w:szCs w:val="24"/>
                <w:lang w:eastAsia="lt-LT"/>
              </w:rPr>
              <w:t>58</w:t>
            </w:r>
          </w:p>
        </w:tc>
      </w:tr>
      <w:tr>
        <w:trPr>
          <w:jc w:val="center"/>
        </w:trPr>
        <w:tc>
          <w:tcPr>
            <w:tcW w:w="790" w:type="dxa"/>
          </w:tcPr>
          <w:p>
            <w:pPr>
              <w:tabs>
                <w:tab w:val="left" w:pos="567"/>
              </w:tabs>
              <w:rPr>
                <w:szCs w:val="24"/>
                <w:lang w:eastAsia="lt-LT"/>
              </w:rPr>
            </w:pPr>
            <w:r>
              <w:rPr>
                <w:szCs w:val="24"/>
                <w:lang w:eastAsia="lt-LT"/>
              </w:rPr>
              <w:t>5.</w:t>
            </w:r>
          </w:p>
        </w:tc>
        <w:tc>
          <w:tcPr>
            <w:tcW w:w="2766" w:type="dxa"/>
          </w:tcPr>
          <w:p>
            <w:pPr>
              <w:tabs>
                <w:tab w:val="left" w:pos="567"/>
              </w:tabs>
              <w:rPr>
                <w:szCs w:val="24"/>
                <w:lang w:eastAsia="lt-LT"/>
              </w:rPr>
            </w:pPr>
            <w:r>
              <w:rPr>
                <w:szCs w:val="24"/>
                <w:lang w:eastAsia="lt-LT"/>
              </w:rPr>
              <w:t>Egal, dBm / 5 MHz</w:t>
            </w:r>
          </w:p>
        </w:tc>
        <w:tc>
          <w:tcPr>
            <w:tcW w:w="1968" w:type="dxa"/>
          </w:tcPr>
          <w:p>
            <w:pPr>
              <w:tabs>
                <w:tab w:val="left" w:pos="567"/>
              </w:tabs>
              <w:rPr>
                <w:szCs w:val="24"/>
                <w:lang w:eastAsia="lt-LT"/>
              </w:rPr>
            </w:pPr>
            <w:r>
              <w:rPr>
                <w:szCs w:val="24"/>
                <w:lang w:eastAsia="lt-LT"/>
              </w:rPr>
              <w:t>28</w:t>
            </w:r>
          </w:p>
        </w:tc>
        <w:tc>
          <w:tcPr>
            <w:tcW w:w="1984" w:type="dxa"/>
          </w:tcPr>
          <w:p>
            <w:pPr>
              <w:tabs>
                <w:tab w:val="left" w:pos="567"/>
              </w:tabs>
              <w:rPr>
                <w:szCs w:val="24"/>
                <w:lang w:eastAsia="lt-LT"/>
              </w:rPr>
            </w:pPr>
            <w:r>
              <w:rPr>
                <w:szCs w:val="24"/>
                <w:lang w:eastAsia="lt-LT"/>
              </w:rPr>
              <w:t>28</w:t>
            </w:r>
          </w:p>
        </w:tc>
        <w:tc>
          <w:tcPr>
            <w:tcW w:w="1905" w:type="dxa"/>
          </w:tcPr>
          <w:p>
            <w:pPr>
              <w:tabs>
                <w:tab w:val="left" w:pos="567"/>
              </w:tabs>
              <w:rPr>
                <w:strike/>
                <w:szCs w:val="24"/>
                <w:lang w:eastAsia="lt-LT"/>
              </w:rPr>
            </w:pPr>
            <w:r>
              <w:rPr>
                <w:szCs w:val="24"/>
                <w:lang w:eastAsia="lt-LT"/>
              </w:rPr>
              <w:t>28</w:t>
            </w:r>
          </w:p>
        </w:tc>
      </w:tr>
      <w:tr>
        <w:trPr>
          <w:jc w:val="center"/>
        </w:trPr>
        <w:tc>
          <w:tcPr>
            <w:tcW w:w="790" w:type="dxa"/>
          </w:tcPr>
          <w:p>
            <w:pPr>
              <w:tabs>
                <w:tab w:val="left" w:pos="567"/>
              </w:tabs>
              <w:rPr>
                <w:szCs w:val="24"/>
                <w:lang w:eastAsia="lt-LT"/>
              </w:rPr>
            </w:pPr>
            <w:r>
              <w:rPr>
                <w:szCs w:val="24"/>
                <w:lang w:eastAsia="lt-LT"/>
              </w:rPr>
              <w:t>6.</w:t>
            </w:r>
          </w:p>
        </w:tc>
        <w:tc>
          <w:tcPr>
            <w:tcW w:w="2766" w:type="dxa"/>
          </w:tcPr>
          <w:p>
            <w:pPr>
              <w:tabs>
                <w:tab w:val="left" w:pos="567"/>
              </w:tabs>
              <w:rPr>
                <w:szCs w:val="24"/>
                <w:lang w:eastAsia="lt-LT"/>
              </w:rPr>
            </w:pPr>
            <w:r>
              <w:rPr>
                <w:szCs w:val="24"/>
                <w:lang w:eastAsia="lt-LT"/>
              </w:rPr>
              <w:t>Heff, m</w:t>
            </w:r>
          </w:p>
        </w:tc>
        <w:tc>
          <w:tcPr>
            <w:tcW w:w="1968" w:type="dxa"/>
          </w:tcPr>
          <w:p>
            <w:pPr>
              <w:tabs>
                <w:tab w:val="left" w:pos="567"/>
              </w:tabs>
              <w:rPr>
                <w:szCs w:val="24"/>
                <w:lang w:eastAsia="lt-LT"/>
              </w:rPr>
            </w:pPr>
            <w:r>
              <w:rPr>
                <w:szCs w:val="24"/>
                <w:lang w:eastAsia="lt-LT"/>
              </w:rPr>
              <w:t>60</w:t>
            </w:r>
          </w:p>
        </w:tc>
        <w:tc>
          <w:tcPr>
            <w:tcW w:w="1984" w:type="dxa"/>
          </w:tcPr>
          <w:p>
            <w:pPr>
              <w:tabs>
                <w:tab w:val="left" w:pos="567"/>
              </w:tabs>
              <w:rPr>
                <w:szCs w:val="24"/>
                <w:lang w:eastAsia="lt-LT"/>
              </w:rPr>
            </w:pPr>
            <w:r>
              <w:rPr>
                <w:szCs w:val="24"/>
                <w:lang w:eastAsia="lt-LT"/>
              </w:rPr>
              <w:t>60</w:t>
            </w:r>
          </w:p>
        </w:tc>
        <w:tc>
          <w:tcPr>
            <w:tcW w:w="1905" w:type="dxa"/>
          </w:tcPr>
          <w:p>
            <w:pPr>
              <w:tabs>
                <w:tab w:val="left" w:pos="567"/>
              </w:tabs>
              <w:rPr>
                <w:strike/>
                <w:szCs w:val="24"/>
                <w:lang w:eastAsia="lt-LT"/>
              </w:rPr>
            </w:pPr>
            <w:r>
              <w:rPr>
                <w:szCs w:val="24"/>
                <w:lang w:eastAsia="lt-LT"/>
              </w:rPr>
              <w:t>60</w:t>
            </w:r>
          </w:p>
        </w:tc>
      </w:tr>
      <w:tr>
        <w:trPr>
          <w:jc w:val="center"/>
        </w:trPr>
        <w:tc>
          <w:tcPr>
            <w:tcW w:w="790" w:type="dxa"/>
          </w:tcPr>
          <w:p>
            <w:pPr>
              <w:tabs>
                <w:tab w:val="left" w:pos="567"/>
              </w:tabs>
              <w:rPr>
                <w:szCs w:val="24"/>
                <w:lang w:eastAsia="lt-LT"/>
              </w:rPr>
            </w:pPr>
            <w:r>
              <w:rPr>
                <w:szCs w:val="24"/>
                <w:lang w:eastAsia="lt-LT"/>
              </w:rPr>
              <w:t>7.</w:t>
            </w:r>
          </w:p>
        </w:tc>
        <w:tc>
          <w:tcPr>
            <w:tcW w:w="2766" w:type="dxa"/>
          </w:tcPr>
          <w:p>
            <w:pPr>
              <w:tabs>
                <w:tab w:val="left" w:pos="567"/>
              </w:tabs>
              <w:rPr>
                <w:szCs w:val="24"/>
                <w:lang w:eastAsia="lt-LT"/>
              </w:rPr>
            </w:pPr>
            <w:r>
              <w:rPr>
                <w:szCs w:val="24"/>
                <w:lang w:eastAsia="lt-LT"/>
              </w:rPr>
              <w:t>D0, km</w:t>
            </w:r>
          </w:p>
        </w:tc>
        <w:tc>
          <w:tcPr>
            <w:tcW w:w="1968" w:type="dxa"/>
          </w:tcPr>
          <w:p>
            <w:pPr>
              <w:tabs>
                <w:tab w:val="left" w:pos="567"/>
              </w:tabs>
              <w:rPr>
                <w:szCs w:val="24"/>
                <w:lang w:eastAsia="lt-LT"/>
              </w:rPr>
            </w:pPr>
            <w:r>
              <w:rPr>
                <w:szCs w:val="24"/>
                <w:lang w:eastAsia="lt-LT"/>
              </w:rPr>
              <w:t>0–15</w:t>
            </w:r>
          </w:p>
        </w:tc>
        <w:tc>
          <w:tcPr>
            <w:tcW w:w="1984" w:type="dxa"/>
          </w:tcPr>
          <w:p>
            <w:pPr>
              <w:tabs>
                <w:tab w:val="left" w:pos="567"/>
              </w:tabs>
              <w:rPr>
                <w:szCs w:val="24"/>
                <w:lang w:eastAsia="lt-LT"/>
              </w:rPr>
            </w:pPr>
            <w:r>
              <w:rPr>
                <w:szCs w:val="24"/>
                <w:lang w:eastAsia="lt-LT"/>
              </w:rPr>
              <w:t>0–15, (0–10)*</w:t>
            </w:r>
          </w:p>
        </w:tc>
        <w:tc>
          <w:tcPr>
            <w:tcW w:w="1905" w:type="dxa"/>
          </w:tcPr>
          <w:p>
            <w:pPr>
              <w:tabs>
                <w:tab w:val="left" w:pos="567"/>
              </w:tabs>
              <w:rPr>
                <w:strike/>
                <w:szCs w:val="24"/>
                <w:lang w:eastAsia="lt-LT"/>
              </w:rPr>
            </w:pPr>
            <w:r>
              <w:rPr>
                <w:szCs w:val="24"/>
                <w:lang w:eastAsia="lt-LT"/>
              </w:rPr>
              <w:t>0–10</w:t>
            </w:r>
          </w:p>
        </w:tc>
      </w:tr>
      <w:tr>
        <w:trPr>
          <w:jc w:val="center"/>
        </w:trPr>
        <w:tc>
          <w:tcPr>
            <w:tcW w:w="790" w:type="dxa"/>
          </w:tcPr>
          <w:p>
            <w:pPr>
              <w:tabs>
                <w:tab w:val="left" w:pos="567"/>
              </w:tabs>
              <w:rPr>
                <w:szCs w:val="24"/>
                <w:lang w:eastAsia="lt-LT"/>
              </w:rPr>
            </w:pPr>
            <w:r>
              <w:rPr>
                <w:szCs w:val="24"/>
                <w:lang w:eastAsia="lt-LT"/>
              </w:rPr>
              <w:t>8.</w:t>
            </w:r>
          </w:p>
        </w:tc>
        <w:tc>
          <w:tcPr>
            <w:tcW w:w="2766" w:type="dxa"/>
          </w:tcPr>
          <w:p>
            <w:pPr>
              <w:tabs>
                <w:tab w:val="left" w:pos="567"/>
              </w:tabs>
              <w:rPr>
                <w:szCs w:val="24"/>
                <w:lang w:eastAsia="lt-LT"/>
              </w:rPr>
            </w:pPr>
            <w:r>
              <w:rPr>
                <w:szCs w:val="24"/>
                <w:lang w:eastAsia="lt-LT"/>
              </w:rPr>
              <w:t>D1, km</w:t>
            </w:r>
          </w:p>
        </w:tc>
        <w:tc>
          <w:tcPr>
            <w:tcW w:w="1968" w:type="dxa"/>
          </w:tcPr>
          <w:p>
            <w:pPr>
              <w:tabs>
                <w:tab w:val="left" w:pos="567"/>
              </w:tabs>
              <w:rPr>
                <w:szCs w:val="24"/>
                <w:lang w:eastAsia="lt-LT"/>
              </w:rPr>
            </w:pPr>
            <w:r>
              <w:rPr>
                <w:szCs w:val="24"/>
                <w:lang w:eastAsia="lt-LT"/>
              </w:rPr>
              <w:t>15–30</w:t>
            </w:r>
          </w:p>
        </w:tc>
        <w:tc>
          <w:tcPr>
            <w:tcW w:w="1984" w:type="dxa"/>
          </w:tcPr>
          <w:p>
            <w:pPr>
              <w:tabs>
                <w:tab w:val="left" w:pos="567"/>
              </w:tabs>
              <w:rPr>
                <w:szCs w:val="24"/>
                <w:lang w:eastAsia="lt-LT"/>
              </w:rPr>
            </w:pPr>
            <w:r>
              <w:rPr>
                <w:szCs w:val="24"/>
                <w:lang w:eastAsia="lt-LT"/>
              </w:rPr>
              <w:t>15–60, (10–30)*</w:t>
            </w:r>
          </w:p>
        </w:tc>
        <w:tc>
          <w:tcPr>
            <w:tcW w:w="1905" w:type="dxa"/>
          </w:tcPr>
          <w:p>
            <w:pPr>
              <w:tabs>
                <w:tab w:val="left" w:pos="567"/>
              </w:tabs>
              <w:rPr>
                <w:strike/>
                <w:szCs w:val="24"/>
                <w:lang w:eastAsia="lt-LT"/>
              </w:rPr>
            </w:pPr>
            <w:r>
              <w:rPr>
                <w:szCs w:val="24"/>
                <w:lang w:eastAsia="lt-LT"/>
              </w:rPr>
              <w:t>10–30</w:t>
            </w:r>
          </w:p>
        </w:tc>
      </w:tr>
      <w:tr>
        <w:trPr>
          <w:jc w:val="center"/>
        </w:trPr>
        <w:tc>
          <w:tcPr>
            <w:tcW w:w="790" w:type="dxa"/>
          </w:tcPr>
          <w:p>
            <w:pPr>
              <w:tabs>
                <w:tab w:val="left" w:pos="567"/>
              </w:tabs>
              <w:rPr>
                <w:szCs w:val="24"/>
                <w:lang w:eastAsia="lt-LT"/>
              </w:rPr>
            </w:pPr>
            <w:r>
              <w:rPr>
                <w:szCs w:val="24"/>
                <w:lang w:eastAsia="lt-LT"/>
              </w:rPr>
              <w:t>9.</w:t>
            </w:r>
          </w:p>
        </w:tc>
        <w:tc>
          <w:tcPr>
            <w:tcW w:w="2766" w:type="dxa"/>
          </w:tcPr>
          <w:p>
            <w:pPr>
              <w:tabs>
                <w:tab w:val="left" w:pos="567"/>
              </w:tabs>
              <w:rPr>
                <w:szCs w:val="24"/>
                <w:lang w:eastAsia="lt-LT"/>
              </w:rPr>
            </w:pPr>
            <w:r>
              <w:rPr>
                <w:szCs w:val="24"/>
                <w:lang w:eastAsia="lt-LT"/>
              </w:rPr>
              <w:t>D10, km</w:t>
            </w:r>
          </w:p>
        </w:tc>
        <w:tc>
          <w:tcPr>
            <w:tcW w:w="1968" w:type="dxa"/>
          </w:tcPr>
          <w:p>
            <w:pPr>
              <w:tabs>
                <w:tab w:val="left" w:pos="567"/>
              </w:tabs>
              <w:rPr>
                <w:szCs w:val="24"/>
                <w:lang w:eastAsia="lt-LT"/>
              </w:rPr>
            </w:pPr>
            <w:r>
              <w:rPr>
                <w:szCs w:val="24"/>
                <w:lang w:eastAsia="lt-LT"/>
              </w:rPr>
              <w:t>30–60</w:t>
            </w:r>
          </w:p>
        </w:tc>
        <w:tc>
          <w:tcPr>
            <w:tcW w:w="1984" w:type="dxa"/>
          </w:tcPr>
          <w:p>
            <w:pPr>
              <w:tabs>
                <w:tab w:val="left" w:pos="567"/>
              </w:tabs>
              <w:rPr>
                <w:szCs w:val="24"/>
                <w:lang w:eastAsia="lt-LT"/>
              </w:rPr>
            </w:pPr>
            <w:r>
              <w:rPr>
                <w:szCs w:val="24"/>
                <w:lang w:eastAsia="lt-LT"/>
              </w:rPr>
              <w:t>(30–60)*</w:t>
            </w:r>
          </w:p>
        </w:tc>
        <w:tc>
          <w:tcPr>
            <w:tcW w:w="1905" w:type="dxa"/>
          </w:tcPr>
          <w:p>
            <w:pPr>
              <w:tabs>
                <w:tab w:val="left" w:pos="567"/>
              </w:tabs>
              <w:rPr>
                <w:strike/>
                <w:szCs w:val="24"/>
                <w:lang w:eastAsia="lt-LT"/>
              </w:rPr>
            </w:pPr>
            <w:r>
              <w:rPr>
                <w:szCs w:val="24"/>
                <w:lang w:eastAsia="lt-LT"/>
              </w:rPr>
              <w:t>30–60</w:t>
            </w:r>
          </w:p>
        </w:tc>
      </w:tr>
      <w:tr>
        <w:trPr>
          <w:jc w:val="center"/>
        </w:trPr>
        <w:tc>
          <w:tcPr>
            <w:tcW w:w="790" w:type="dxa"/>
          </w:tcPr>
          <w:p>
            <w:pPr>
              <w:tabs>
                <w:tab w:val="left" w:pos="567"/>
              </w:tabs>
              <w:rPr>
                <w:szCs w:val="24"/>
                <w:lang w:eastAsia="lt-LT"/>
              </w:rPr>
            </w:pPr>
            <w:r>
              <w:rPr>
                <w:szCs w:val="24"/>
                <w:lang w:eastAsia="lt-LT"/>
              </w:rPr>
              <w:t>10.</w:t>
            </w:r>
          </w:p>
        </w:tc>
        <w:tc>
          <w:tcPr>
            <w:tcW w:w="2766" w:type="dxa"/>
          </w:tcPr>
          <w:p>
            <w:pPr>
              <w:tabs>
                <w:tab w:val="left" w:pos="567"/>
              </w:tabs>
              <w:rPr>
                <w:szCs w:val="24"/>
                <w:lang w:eastAsia="lt-LT"/>
              </w:rPr>
            </w:pPr>
            <w:r>
              <w:rPr>
                <w:szCs w:val="24"/>
                <w:lang w:eastAsia="lt-LT"/>
              </w:rPr>
              <w:t>D (paslaugos), km</w:t>
            </w:r>
          </w:p>
        </w:tc>
        <w:tc>
          <w:tcPr>
            <w:tcW w:w="1968" w:type="dxa"/>
          </w:tcPr>
          <w:p>
            <w:pPr>
              <w:tabs>
                <w:tab w:val="left" w:pos="567"/>
              </w:tabs>
              <w:rPr>
                <w:szCs w:val="24"/>
                <w:lang w:eastAsia="lt-LT"/>
              </w:rPr>
            </w:pPr>
            <w:r>
              <w:rPr>
                <w:szCs w:val="24"/>
                <w:lang w:eastAsia="lt-LT"/>
              </w:rPr>
              <w:t>7</w:t>
            </w:r>
          </w:p>
        </w:tc>
        <w:tc>
          <w:tcPr>
            <w:tcW w:w="1984" w:type="dxa"/>
          </w:tcPr>
          <w:p>
            <w:pPr>
              <w:tabs>
                <w:tab w:val="left" w:pos="567"/>
              </w:tabs>
              <w:rPr>
                <w:szCs w:val="24"/>
                <w:lang w:eastAsia="lt-LT"/>
              </w:rPr>
            </w:pPr>
            <w:r>
              <w:rPr>
                <w:szCs w:val="24"/>
                <w:lang w:eastAsia="lt-LT"/>
              </w:rPr>
              <w:t>7, 2*</w:t>
            </w:r>
          </w:p>
        </w:tc>
        <w:tc>
          <w:tcPr>
            <w:tcW w:w="1905" w:type="dxa"/>
          </w:tcPr>
          <w:p>
            <w:pPr>
              <w:tabs>
                <w:tab w:val="left" w:pos="567"/>
              </w:tabs>
              <w:rPr>
                <w:strike/>
                <w:szCs w:val="24"/>
                <w:lang w:eastAsia="lt-LT"/>
              </w:rPr>
            </w:pPr>
            <w:r>
              <w:rPr>
                <w:szCs w:val="24"/>
                <w:lang w:eastAsia="lt-LT"/>
              </w:rPr>
              <w:t>2</w:t>
            </w:r>
          </w:p>
        </w:tc>
      </w:tr>
    </w:tbl>
    <w:p>
      <w:pPr>
        <w:tabs>
          <w:tab w:val="left" w:pos="567"/>
        </w:tabs>
        <w:ind w:firstLine="709"/>
        <w:jc w:val="both"/>
      </w:pPr>
      <w:r>
        <w:rPr>
          <w:szCs w:val="24"/>
          <w:lang w:eastAsia="lt-LT"/>
        </w:rPr>
        <w:t>* Taikoma tik 790–797 MHz ir 805–813 MHz radijo dažnių juostoms.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cc55f0b26511e88f64a5ecc703f89b">
        <w:r w:rsidRPr="00532B9F">
          <w:rPr>
            <w:rFonts w:ascii="Times New Roman" w:eastAsia="MS Mincho" w:hAnsi="Times New Roman"/>
            <w:sz w:val="20"/>
            <w:i/>
            <w:iCs/>
            <w:color w:val="0000FF" w:themeColor="hyperlink"/>
            <w:u w:val="single"/>
          </w:rPr>
          <w:t>1V-836</w:t>
        </w:r>
      </w:fldSimple>
      <w:r>
        <w:rPr>
          <w:rFonts w:ascii="Times New Roman" w:eastAsia="MS Mincho" w:hAnsi="Times New Roman"/>
          <w:sz w:val="20"/>
          <w:i/>
          <w:iCs/>
        </w:rPr>
        <w:t>,
2018-09-06,
paskelbta TAR 2018-09-07, i. k. 2018-14200            </w:t>
      </w:r>
    </w:p>
    <w:p/>
    <w:p>
      <w:pPr>
        <w:tabs>
          <w:tab w:val="left" w:pos="284"/>
        </w:tabs>
        <w:suppressAutoHyphens/>
        <w:ind w:firstLine="567"/>
        <w:jc w:val="both"/>
        <w:textAlignment w:val="center"/>
        <w:rPr>
          <w:color w:val="000000"/>
          <w:szCs w:val="24"/>
        </w:rPr>
      </w:pPr>
      <w:r>
        <w:rPr>
          <w:color w:val="000000"/>
          <w:szCs w:val="24"/>
        </w:rPr>
        <w:t>4</w:t>
      </w:r>
      <w:r>
        <w:rPr>
          <w:color w:val="000000"/>
          <w:szCs w:val="24"/>
        </w:rPr>
        <w:t xml:space="preserve">. Be koordinavimo su Baltarusijos Respublika galima naudoti radijo dažnius (kanalus) iš 791–821 MHz ir 832–862 MHz radijo dažnių juostų, kai LTE tinklo bazinės stoties (visų sektoriaus siųstuvų) kuriamas vidutinis elektromagnetinio lauko stipris 3 m aukštyje ties </w:t>
      </w:r>
      <w:r>
        <w:rPr>
          <w:iCs/>
          <w:color w:val="000000"/>
          <w:szCs w:val="24"/>
        </w:rPr>
        <w:t>valstybės siena</w:t>
      </w:r>
      <w:r>
        <w:rPr>
          <w:color w:val="000000"/>
          <w:szCs w:val="24"/>
        </w:rPr>
        <w:t xml:space="preserve"> su Baltarusijos Respublika neviršija 48 dB(µV/m) / 5 MHz ir ties linija, 9 km atstumu nuo valstybės sienos su Baltarusijos Respublika nutolusia į Baltarusijos Respublikos teritorijos gilumą, neviršija 29 dB(µV/m) / 5 MHz. Kai LTE tinklo bazinės stoties (visų sektoriaus siųstuvų) kuriamas vidutinis elektromagnetinio lauko stipris ties valstybės siena su Baltarusijos Respublika viršija 29 dB(µV/m) / 5 MHz, šioje stotyje galima naudoti tik šias </w:t>
      </w:r>
      <w:r>
        <w:rPr>
          <w:iCs/>
          <w:color w:val="000000"/>
          <w:szCs w:val="24"/>
        </w:rPr>
        <w:t>PCI</w:t>
      </w:r>
      <w:r>
        <w:rPr>
          <w:color w:val="000000"/>
          <w:szCs w:val="24"/>
        </w:rPr>
        <w:t xml:space="preserve"> vertes – 0–167 ir 420–503, kitu atveju taip pat galima naudoti PCI vertes 168–419.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cc55f0b26511e88f64a5ecc703f89b">
        <w:r w:rsidRPr="00532B9F">
          <w:rPr>
            <w:rFonts w:ascii="Times New Roman" w:eastAsia="MS Mincho" w:hAnsi="Times New Roman"/>
            <w:sz w:val="20"/>
            <w:i/>
            <w:iCs/>
            <w:color w:val="0000FF" w:themeColor="hyperlink"/>
            <w:u w:val="single"/>
          </w:rPr>
          <w:t>1V-836</w:t>
        </w:r>
      </w:fldSimple>
      <w:r>
        <w:rPr>
          <w:rFonts w:ascii="Times New Roman" w:eastAsia="MS Mincho" w:hAnsi="Times New Roman"/>
          <w:sz w:val="20"/>
          <w:i/>
          <w:iCs/>
        </w:rPr>
        <w:t>,
2018-09-06,
paskelbta TAR 2018-09-07, i. k. 2018-14200        </w:t>
      </w:r>
    </w:p>
    <w:p/>
    <w:p>
      <w:pPr>
        <w:tabs>
          <w:tab w:val="left" w:pos="1134"/>
        </w:tabs>
        <w:suppressAutoHyphens/>
        <w:ind w:firstLine="672"/>
        <w:jc w:val="center"/>
        <w:textAlignment w:val="center"/>
        <w:rPr>
          <w:color w:val="000000"/>
          <w:szCs w:val="24"/>
        </w:rPr>
      </w:pPr>
      <w:r>
        <w:rPr>
          <w:color w:val="000000"/>
          <w:szCs w:val="24"/>
        </w:rPr>
        <w:t>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A42D4475A21">
        <w:r w:rsidRPr="00532B9F">
          <w:rPr>
            <w:rFonts w:ascii="Times New Roman" w:eastAsia="MS Mincho" w:hAnsi="Times New Roman"/>
            <w:sz w:val="20"/>
            <w:iCs/>
            <w:color w:val="0000FF" w:themeColor="hyperlink"/>
            <w:u w:val="single"/>
          </w:rPr>
          <w:t>1V-939</w:t>
        </w:r>
      </w:fldSimple>
      <w:r>
        <w:rPr>
          <w:rFonts w:ascii="Times New Roman" w:eastAsia="MS Mincho" w:hAnsi="Times New Roman"/>
          <w:sz w:val="20"/>
          <w:iCs/>
        </w:rPr>
        <w:t>,
2013-06-18,
Žin., 2013, Nr.
66-3330 (2013-06-22), i. k. 11311RRISAK001V-939                </w:t>
      </w:r>
    </w:p>
    <w:p>
      <w:pPr>
        <w:jc w:val="both"/>
        <w:rPr>
          <w:rFonts w:ascii="Times New Roman" w:hAnsi="Times New Roman"/>
        </w:rPr>
      </w:pPr>
      <w:r>
        <w:rPr>
          <w:rFonts w:ascii="Times New Roman" w:hAnsi="Times New Roman"/>
          <w:sz w:val="20"/>
        </w:rPr>
        <w:t>Dėl Lietuvos Respublikos ryšių reguliavimo tarnybos direktoriaus 2013 m. gegužės 6 d. įsakymo Nr. 1V-730 "Dėl Radijo ryšio plėtros 790–862 MHz radijo dažnių juostoje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ccc55f0b26511e88f64a5ecc703f89b">
        <w:r w:rsidRPr="00532B9F">
          <w:rPr>
            <w:rFonts w:ascii="Times New Roman" w:eastAsia="MS Mincho" w:hAnsi="Times New Roman"/>
            <w:sz w:val="20"/>
            <w:iCs/>
            <w:color w:val="0000FF" w:themeColor="hyperlink"/>
            <w:u w:val="single"/>
          </w:rPr>
          <w:t>1V-836</w:t>
        </w:r>
      </w:fldSimple>
      <w:r>
        <w:rPr>
          <w:rFonts w:ascii="Times New Roman" w:eastAsia="MS Mincho" w:hAnsi="Times New Roman"/>
          <w:sz w:val="20"/>
          <w:iCs/>
        </w:rPr>
        <w:t>,
2018-09-06,
paskelbta TAR 2018-09-07, i. k. 2018-14200                </w:t>
      </w:r>
    </w:p>
    <w:p>
      <w:pPr>
        <w:jc w:val="both"/>
        <w:rPr>
          <w:rFonts w:ascii="Times New Roman" w:hAnsi="Times New Roman"/>
        </w:rPr>
      </w:pPr>
      <w:r>
        <w:rPr>
          <w:rFonts w:ascii="Times New Roman" w:hAnsi="Times New Roman"/>
          <w:sz w:val="20"/>
        </w:rPr>
        <w:t>Dėl Lietuvos Respublikos ryšių reguliavimo tarnybos direktoriaus 2013 m. gegužės 6 d. įsakymo Nr. 1V-730 „Dėl Radijo ryšio plėtros 790–862 MHz radijo dažnių juostoje plano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701" w:right="567"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Cs w:val="24"/>
          <w:lang w:eastAsia="lt-LT"/>
        </w:rPr>
      </w:pPr>
      <w:r>
        <w:rPr>
          <w:szCs w:val="24"/>
          <w:lang w:eastAsia="lt-LT"/>
        </w:rPr>
        <w:separator/>
      </w:r>
    </w:p>
  </w:endnote>
  <w:endnote w:type="continuationSeparator" w:id="0">
    <w:p>
      <w:pPr>
        <w:rPr>
          <w:szCs w:val="24"/>
          <w:lang w:eastAsia="lt-LT"/>
        </w:rPr>
      </w:pPr>
      <w:r>
        <w:rPr>
          <w:szCs w:val="24"/>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Cs w:val="24"/>
          <w:lang w:eastAsia="lt-LT"/>
        </w:rPr>
      </w:pPr>
      <w:r>
        <w:rPr>
          <w:szCs w:val="24"/>
          <w:lang w:eastAsia="lt-LT"/>
        </w:rPr>
        <w:separator/>
      </w:r>
    </w:p>
  </w:footnote>
  <w:footnote w:type="continuationSeparator" w:id="0">
    <w:p>
      <w:pPr>
        <w:rPr>
          <w:szCs w:val="24"/>
          <w:lang w:eastAsia="lt-LT"/>
        </w:rPr>
      </w:pPr>
      <w:r>
        <w:rPr>
          <w:szCs w:val="24"/>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4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A7B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63406D62AD8E"/>
  <Relationship Id="rId11" Type="http://schemas.openxmlformats.org/officeDocument/2006/relationships/hyperlink" TargetMode="External" Target="https://www.e-tar.lt/portal/lt/legalAct/TAR.82D8168D3049"/>
  <Relationship Id="rId12" Type="http://schemas.openxmlformats.org/officeDocument/2006/relationships/hyperlink" TargetMode="External" Target="https://www.e-tar.lt/portal/lt/legalAct/TAR.CF599A1A6DD5"/>
  <Relationship Id="rId13" Type="http://schemas.openxmlformats.org/officeDocument/2006/relationships/hyperlink" TargetMode="External" Target="https://www.e-tar.lt/portal/lt/legalAct/TAR.D0CD0966D67F"/>
  <Relationship Id="rId14" Type="http://schemas.openxmlformats.org/officeDocument/2006/relationships/hyperlink" TargetMode="External" Target="https://www.e-tar.lt/portal/lt/legalAct/TAR.DB32089CD551"/>
  <Relationship Id="rId15" Type="http://schemas.openxmlformats.org/officeDocument/2006/relationships/hyperlink" TargetMode="External" Target="https://www.e-tar.lt/portal/lt/legalAct/TAR.E427991EFAA3"/>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fontTable" Target="fontTable.xml"/>
  <Relationship Id="rId20" Type="http://schemas.openxmlformats.org/officeDocument/2006/relationships/webSettings" Target="webSettings.xml"/>
  <Relationship Id="rId21" Type="http://schemas.openxmlformats.org/officeDocument/2006/relationships/header" Target="header4.xml"/>
  <Relationship Id="rId22" Type="http://schemas.openxmlformats.org/officeDocument/2006/relationships/header" Target="header5.xml"/>
  <Relationship Id="rId23" Type="http://schemas.openxmlformats.org/officeDocument/2006/relationships/footer" Target="footer4.xml"/>
  <Relationship Id="rId24" Type="http://schemas.openxmlformats.org/officeDocument/2006/relationships/footer" Target="footer5.xml"/>
  <Relationship Id="rId25" Type="http://schemas.openxmlformats.org/officeDocument/2006/relationships/header" Target="header6.xml"/>
  <Relationship Id="rId26" Type="http://schemas.openxmlformats.org/officeDocument/2006/relationships/footer" Target="footer6.xml"/>
  <Relationship Id="rId3" Type="http://schemas.openxmlformats.org/officeDocument/2006/relationships/footnotes" Target="footnotes.xml"/>
  <Relationship Id="rId4" Type="http://schemas.openxmlformats.org/officeDocument/2006/relationships/hyperlink" TargetMode="External" Target="https://www.e-tar.lt/portal/lt/legalAct/TAR.0120FD7BCFFC"/>
  <Relationship Id="rId5" Type="http://schemas.openxmlformats.org/officeDocument/2006/relationships/hyperlink" TargetMode="External" Target="https://www.e-tar.lt/portal/lt/legalAct/TAR.01E6243CD840"/>
  <Relationship Id="rId6" Type="http://schemas.openxmlformats.org/officeDocument/2006/relationships/hyperlink" TargetMode="External" Target="https://www.e-tar.lt/portal/lt/legalAct/TAR.15776D55BAA1"/>
  <Relationship Id="rId7" Type="http://schemas.openxmlformats.org/officeDocument/2006/relationships/hyperlink" TargetMode="External" Target="https://www.e-tar.lt/portal/lt/legalAct/TAR.2EE4353E5826"/>
  <Relationship Id="rId8" Type="http://schemas.openxmlformats.org/officeDocument/2006/relationships/hyperlink" TargetMode="External" Target="https://www.e-tar.lt/portal/lt/legalAct/TAR.43BFD8E325FF"/>
  <Relationship Id="rId9" Type="http://schemas.openxmlformats.org/officeDocument/2006/relationships/hyperlink" TargetMode="External" Target="https://www.e-tar.lt/portal/lt/legalAct/TAR.4E37A1598E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11</Pages>
  <Words>18291</Words>
  <Characters>10427</Characters>
  <Application>Microsoft Office Word</Application>
  <DocSecurity>0</DocSecurity>
  <Lines>86</Lines>
  <Paragraphs>57</Paragraphs>
  <ScaleCrop>false</ScaleCrop>
  <Company>Teisines informacijos centras</Company>
  <LinksUpToDate>false</LinksUpToDate>
  <CharactersWithSpaces>28661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2015-07-07T21:45:00Z</dcterms:created>
  <dc:creator>Kamilija</dc:creator>
  <lastModifiedBy>KUČIAUSKIENĖ Simona</lastModifiedBy>
  <dcterms:modified xsi:type="dcterms:W3CDTF">2018-09-12T07:23:00Z</dcterms:modified>
  <revision>9</revision>
  <dc:title>LIETUVOS RESPUBLIKOS RYŠIŲ REGULIAVIMO TARNYBOS DIREKTORIAUS</dc:title>
</coreProperties>
</file>