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0A2" w:rsidRPr="008D1156" w:rsidRDefault="002758FE" w:rsidP="0054363A">
      <w:pPr>
        <w:pStyle w:val="Heading4"/>
        <w:rPr>
          <w:sz w:val="24"/>
          <w:lang w:val="en-US"/>
        </w:rPr>
      </w:pPr>
      <w:r>
        <w:rPr>
          <w:sz w:val="24"/>
          <w:lang w:val="en-US"/>
        </w:rPr>
        <w:t>NOTIFICATION</w:t>
      </w:r>
      <w:r w:rsidR="003A70A2" w:rsidRPr="008D1156">
        <w:rPr>
          <w:sz w:val="24"/>
          <w:lang w:val="en-US"/>
        </w:rPr>
        <w:t xml:space="preserve"> FORM</w:t>
      </w:r>
    </w:p>
    <w:p w:rsidR="003A70A2" w:rsidRPr="008D1156" w:rsidRDefault="003A70A2" w:rsidP="0054363A">
      <w:pPr>
        <w:rPr>
          <w:lang w:val="en-US"/>
        </w:rPr>
      </w:pPr>
    </w:p>
    <w:p w:rsidR="003A70A2" w:rsidRPr="008D1156" w:rsidRDefault="003A70A2" w:rsidP="0054363A">
      <w:pPr>
        <w:pStyle w:val="Heading2"/>
        <w:jc w:val="center"/>
        <w:rPr>
          <w:szCs w:val="24"/>
          <w:lang w:val="en-US"/>
        </w:rPr>
      </w:pPr>
      <w:r w:rsidRPr="008D1156">
        <w:rPr>
          <w:szCs w:val="24"/>
          <w:lang w:val="en-US"/>
        </w:rPr>
        <w:t>Section 1</w:t>
      </w:r>
    </w:p>
    <w:p w:rsidR="003A70A2" w:rsidRPr="008D1156" w:rsidRDefault="003A70A2" w:rsidP="0054363A">
      <w:pPr>
        <w:pStyle w:val="Heading2"/>
        <w:jc w:val="center"/>
        <w:rPr>
          <w:szCs w:val="24"/>
          <w:lang w:val="en-US"/>
        </w:rPr>
      </w:pPr>
      <w:r w:rsidRPr="008D1156">
        <w:rPr>
          <w:szCs w:val="24"/>
          <w:lang w:val="en-US"/>
        </w:rPr>
        <w:t>Market definition</w:t>
      </w:r>
    </w:p>
    <w:p w:rsidR="003A70A2" w:rsidRPr="008D1156" w:rsidRDefault="003A70A2" w:rsidP="0054363A">
      <w:pPr>
        <w:jc w:val="both"/>
        <w:rPr>
          <w:u w:val="single"/>
          <w:lang w:val="en-US"/>
        </w:rPr>
      </w:pPr>
    </w:p>
    <w:p w:rsidR="003A70A2" w:rsidRPr="008D1156" w:rsidRDefault="003A70A2" w:rsidP="0054363A">
      <w:pPr>
        <w:pStyle w:val="Notifqu"/>
        <w:ind w:left="0" w:firstLine="0"/>
        <w:rPr>
          <w:szCs w:val="24"/>
          <w:lang w:val="en-US"/>
        </w:rPr>
      </w:pPr>
      <w:r w:rsidRPr="008D1156">
        <w:rPr>
          <w:szCs w:val="24"/>
          <w:lang w:val="en-US"/>
        </w:rPr>
        <w:t>1.1 The relevant product/service market. Is this market mentioned in the Recommendation on relevant markets?</w:t>
      </w:r>
    </w:p>
    <w:p w:rsidR="00B1218C" w:rsidRDefault="00B1218C" w:rsidP="00B1218C">
      <w:pPr>
        <w:pStyle w:val="BodyText3"/>
        <w:numPr>
          <w:ilvl w:val="0"/>
          <w:numId w:val="20"/>
        </w:numPr>
        <w:jc w:val="both"/>
        <w:rPr>
          <w:b w:val="0"/>
          <w:bCs w:val="0"/>
          <w:i w:val="0"/>
          <w:iCs w:val="0"/>
          <w:sz w:val="24"/>
          <w:lang w:val="en-US"/>
        </w:rPr>
      </w:pPr>
      <w:r>
        <w:rPr>
          <w:b w:val="0"/>
          <w:bCs w:val="0"/>
          <w:i w:val="0"/>
          <w:iCs w:val="0"/>
          <w:sz w:val="24"/>
          <w:lang w:val="en-US"/>
        </w:rPr>
        <w:t xml:space="preserve">Publicly available local and/or national telephone services provided at fixed location for residential customers (Market 3 </w:t>
      </w:r>
      <w:r w:rsidR="00FC1E54">
        <w:rPr>
          <w:b w:val="0"/>
          <w:bCs w:val="0"/>
          <w:i w:val="0"/>
          <w:iCs w:val="0"/>
          <w:sz w:val="24"/>
          <w:lang w:val="en-US"/>
        </w:rPr>
        <w:t xml:space="preserve">mentioned in </w:t>
      </w:r>
      <w:r>
        <w:rPr>
          <w:b w:val="0"/>
          <w:bCs w:val="0"/>
          <w:i w:val="0"/>
          <w:iCs w:val="0"/>
          <w:sz w:val="24"/>
          <w:lang w:val="en-US"/>
        </w:rPr>
        <w:t>the Commission Recommendation 2003/11/EC);</w:t>
      </w:r>
    </w:p>
    <w:p w:rsidR="00B1218C" w:rsidRDefault="00B1218C" w:rsidP="00B1218C">
      <w:pPr>
        <w:pStyle w:val="BodyText3"/>
        <w:numPr>
          <w:ilvl w:val="0"/>
          <w:numId w:val="20"/>
        </w:numPr>
        <w:jc w:val="both"/>
        <w:rPr>
          <w:b w:val="0"/>
          <w:bCs w:val="0"/>
          <w:i w:val="0"/>
          <w:iCs w:val="0"/>
          <w:sz w:val="24"/>
          <w:lang w:val="en-US"/>
        </w:rPr>
      </w:pPr>
      <w:r>
        <w:rPr>
          <w:b w:val="0"/>
          <w:bCs w:val="0"/>
          <w:i w:val="0"/>
          <w:iCs w:val="0"/>
          <w:sz w:val="24"/>
          <w:lang w:val="en-US"/>
        </w:rPr>
        <w:t xml:space="preserve">Publicly available international telephone services provided at fixed location for residential customers (Market 4 </w:t>
      </w:r>
      <w:r w:rsidR="00FC1E54">
        <w:rPr>
          <w:b w:val="0"/>
          <w:bCs w:val="0"/>
          <w:i w:val="0"/>
          <w:iCs w:val="0"/>
          <w:sz w:val="24"/>
          <w:lang w:val="en-US"/>
        </w:rPr>
        <w:t xml:space="preserve">mentioned in </w:t>
      </w:r>
      <w:r>
        <w:rPr>
          <w:b w:val="0"/>
          <w:bCs w:val="0"/>
          <w:i w:val="0"/>
          <w:iCs w:val="0"/>
          <w:sz w:val="24"/>
          <w:lang w:val="en-US"/>
        </w:rPr>
        <w:t>the Commission Recommendation 2003/11/EC);</w:t>
      </w:r>
    </w:p>
    <w:p w:rsidR="00B1218C" w:rsidRDefault="00B1218C" w:rsidP="00B1218C">
      <w:pPr>
        <w:pStyle w:val="BodyText3"/>
        <w:numPr>
          <w:ilvl w:val="0"/>
          <w:numId w:val="20"/>
        </w:numPr>
        <w:jc w:val="both"/>
        <w:rPr>
          <w:b w:val="0"/>
          <w:bCs w:val="0"/>
          <w:i w:val="0"/>
          <w:iCs w:val="0"/>
          <w:sz w:val="24"/>
          <w:lang w:val="en-US"/>
        </w:rPr>
      </w:pPr>
      <w:r>
        <w:rPr>
          <w:b w:val="0"/>
          <w:bCs w:val="0"/>
          <w:i w:val="0"/>
          <w:iCs w:val="0"/>
          <w:sz w:val="24"/>
          <w:lang w:val="en-US"/>
        </w:rPr>
        <w:t xml:space="preserve">Publicly available local and/or national telephone services provided at fixed location for non-residential customers (Market 5 </w:t>
      </w:r>
      <w:r w:rsidR="00FC1E54">
        <w:rPr>
          <w:b w:val="0"/>
          <w:bCs w:val="0"/>
          <w:i w:val="0"/>
          <w:iCs w:val="0"/>
          <w:sz w:val="24"/>
          <w:lang w:val="en-US"/>
        </w:rPr>
        <w:t xml:space="preserve">mentioned in </w:t>
      </w:r>
      <w:r>
        <w:rPr>
          <w:b w:val="0"/>
          <w:bCs w:val="0"/>
          <w:i w:val="0"/>
          <w:iCs w:val="0"/>
          <w:sz w:val="24"/>
          <w:lang w:val="en-US"/>
        </w:rPr>
        <w:t>the Commission Recommendation 2003/11/EC);</w:t>
      </w:r>
    </w:p>
    <w:p w:rsidR="00B1218C" w:rsidRDefault="00B1218C" w:rsidP="00B1218C">
      <w:pPr>
        <w:pStyle w:val="BodyText3"/>
        <w:numPr>
          <w:ilvl w:val="0"/>
          <w:numId w:val="20"/>
        </w:numPr>
        <w:jc w:val="both"/>
        <w:rPr>
          <w:b w:val="0"/>
          <w:bCs w:val="0"/>
          <w:i w:val="0"/>
          <w:iCs w:val="0"/>
          <w:sz w:val="24"/>
          <w:lang w:val="en-US"/>
        </w:rPr>
      </w:pPr>
      <w:r>
        <w:rPr>
          <w:b w:val="0"/>
          <w:bCs w:val="0"/>
          <w:i w:val="0"/>
          <w:iCs w:val="0"/>
          <w:sz w:val="24"/>
          <w:lang w:val="en-US"/>
        </w:rPr>
        <w:t xml:space="preserve">Publicly available international telephone services provided at fixed location for non-residential customers (Market 6 </w:t>
      </w:r>
      <w:r w:rsidR="00FC1E54">
        <w:rPr>
          <w:b w:val="0"/>
          <w:bCs w:val="0"/>
          <w:i w:val="0"/>
          <w:iCs w:val="0"/>
          <w:sz w:val="24"/>
          <w:lang w:val="en-US"/>
        </w:rPr>
        <w:t xml:space="preserve">mentioned in </w:t>
      </w:r>
      <w:r>
        <w:rPr>
          <w:b w:val="0"/>
          <w:bCs w:val="0"/>
          <w:i w:val="0"/>
          <w:iCs w:val="0"/>
          <w:sz w:val="24"/>
          <w:lang w:val="en-US"/>
        </w:rPr>
        <w:t>the Commission Recommendation 2003/11/EC).</w:t>
      </w:r>
    </w:p>
    <w:p w:rsidR="00FC1E54" w:rsidRDefault="00FC1E54" w:rsidP="00602058">
      <w:pPr>
        <w:pStyle w:val="BodyText3"/>
        <w:ind w:left="720"/>
        <w:jc w:val="both"/>
        <w:rPr>
          <w:b w:val="0"/>
          <w:bCs w:val="0"/>
          <w:i w:val="0"/>
          <w:iCs w:val="0"/>
          <w:sz w:val="24"/>
          <w:lang w:val="en-US"/>
        </w:rPr>
      </w:pPr>
    </w:p>
    <w:p w:rsidR="00FC1E54" w:rsidRDefault="00FC1E54" w:rsidP="00602058">
      <w:pPr>
        <w:pStyle w:val="BodyText3"/>
        <w:jc w:val="both"/>
        <w:rPr>
          <w:b w:val="0"/>
          <w:bCs w:val="0"/>
          <w:i w:val="0"/>
          <w:iCs w:val="0"/>
          <w:sz w:val="24"/>
          <w:lang w:val="en-US"/>
        </w:rPr>
      </w:pPr>
      <w:r>
        <w:rPr>
          <w:b w:val="0"/>
          <w:bCs w:val="0"/>
          <w:i w:val="0"/>
          <w:iCs w:val="0"/>
          <w:sz w:val="24"/>
          <w:lang w:val="en-US"/>
        </w:rPr>
        <w:t xml:space="preserve">Markets listed above are not mentioned in the </w:t>
      </w:r>
      <w:r w:rsidR="00941902">
        <w:rPr>
          <w:b w:val="0"/>
          <w:bCs w:val="0"/>
          <w:i w:val="0"/>
          <w:iCs w:val="0"/>
          <w:sz w:val="24"/>
          <w:lang w:val="en-US"/>
        </w:rPr>
        <w:t xml:space="preserve">Commission </w:t>
      </w:r>
      <w:r w:rsidRPr="00602058">
        <w:rPr>
          <w:b w:val="0"/>
          <w:i w:val="0"/>
          <w:sz w:val="24"/>
          <w:lang w:val="en-US"/>
        </w:rPr>
        <w:t xml:space="preserve">Recommendation </w:t>
      </w:r>
      <w:r>
        <w:rPr>
          <w:b w:val="0"/>
          <w:i w:val="0"/>
          <w:sz w:val="24"/>
          <w:lang w:val="en-US"/>
        </w:rPr>
        <w:t>2007/879/EC</w:t>
      </w:r>
      <w:r w:rsidRPr="00FC1E54">
        <w:rPr>
          <w:b w:val="0"/>
          <w:i w:val="0"/>
          <w:sz w:val="24"/>
          <w:lang w:val="en-US"/>
        </w:rPr>
        <w:t xml:space="preserve"> </w:t>
      </w:r>
      <w:r w:rsidRPr="00602058">
        <w:rPr>
          <w:b w:val="0"/>
          <w:i w:val="0"/>
          <w:sz w:val="24"/>
          <w:lang w:val="en-US"/>
        </w:rPr>
        <w:t>on relevant markets</w:t>
      </w:r>
      <w:r>
        <w:rPr>
          <w:b w:val="0"/>
          <w:i w:val="0"/>
          <w:sz w:val="24"/>
          <w:lang w:val="en-US"/>
        </w:rPr>
        <w:t xml:space="preserve"> </w:t>
      </w:r>
    </w:p>
    <w:p w:rsidR="000F375A" w:rsidRPr="004646ED" w:rsidRDefault="000F375A" w:rsidP="00FF7394">
      <w:pPr>
        <w:pStyle w:val="BodyText3"/>
        <w:jc w:val="both"/>
        <w:rPr>
          <w:b w:val="0"/>
          <w:bCs w:val="0"/>
          <w:i w:val="0"/>
          <w:iCs w:val="0"/>
          <w:sz w:val="24"/>
        </w:rPr>
      </w:pPr>
    </w:p>
    <w:p w:rsidR="003A70A2" w:rsidRPr="008D1156" w:rsidRDefault="003A70A2" w:rsidP="0054363A">
      <w:pPr>
        <w:pStyle w:val="Notifqu"/>
        <w:ind w:left="0" w:firstLine="0"/>
        <w:rPr>
          <w:szCs w:val="24"/>
          <w:lang w:val="en-US"/>
        </w:rPr>
      </w:pPr>
      <w:r w:rsidRPr="008D1156">
        <w:rPr>
          <w:szCs w:val="24"/>
          <w:lang w:val="en-US"/>
        </w:rPr>
        <w:t>1.2 The relevant geographic market</w:t>
      </w:r>
    </w:p>
    <w:p w:rsidR="00C803C7" w:rsidRDefault="002C497D" w:rsidP="00C803C7">
      <w:pPr>
        <w:pStyle w:val="Notifbody"/>
        <w:numPr>
          <w:ins w:id="0" w:author="Unknown"/>
        </w:numPr>
      </w:pPr>
      <w:r>
        <w:t xml:space="preserve">The </w:t>
      </w:r>
      <w:r w:rsidRPr="0025562A">
        <w:t xml:space="preserve">geographic scope of the </w:t>
      </w:r>
      <w:r w:rsidR="004646ED" w:rsidRPr="0025562A">
        <w:t xml:space="preserve">market </w:t>
      </w:r>
      <w:r w:rsidRPr="0025562A">
        <w:t xml:space="preserve">corresponds to the area </w:t>
      </w:r>
      <w:r w:rsidR="004B46D9">
        <w:t xml:space="preserve">of </w:t>
      </w:r>
      <w:r w:rsidRPr="0025562A">
        <w:t>the Republic of Lithuania.</w:t>
      </w:r>
    </w:p>
    <w:p w:rsidR="00C803C7" w:rsidRDefault="003A70A2" w:rsidP="00C803C7">
      <w:pPr>
        <w:pStyle w:val="Notifbody"/>
        <w:rPr>
          <w:i/>
          <w:lang w:val="en-US"/>
        </w:rPr>
      </w:pPr>
      <w:smartTag w:uri="urn:schemas-microsoft-com:office:smarttags" w:element="metricconverter">
        <w:smartTagPr>
          <w:attr w:name="ProductID" w:val="1.3 A"/>
        </w:smartTagPr>
        <w:r w:rsidRPr="00C803C7">
          <w:rPr>
            <w:i/>
            <w:lang w:val="en-US"/>
          </w:rPr>
          <w:t>1.3 A</w:t>
        </w:r>
      </w:smartTag>
      <w:r w:rsidRPr="00C803C7">
        <w:rPr>
          <w:i/>
          <w:lang w:val="en-US"/>
        </w:rPr>
        <w:t xml:space="preserve"> brief summary of the opinion of the national competition authority</w:t>
      </w:r>
      <w:r w:rsidR="00657635" w:rsidRPr="00C803C7">
        <w:rPr>
          <w:i/>
          <w:lang w:val="en-US"/>
        </w:rPr>
        <w:t xml:space="preserve"> and market players</w:t>
      </w:r>
      <w:r w:rsidRPr="00C803C7">
        <w:rPr>
          <w:i/>
          <w:lang w:val="en-US"/>
        </w:rPr>
        <w:t xml:space="preserve"> where provided.</w:t>
      </w:r>
    </w:p>
    <w:p w:rsidR="00C803C7" w:rsidRDefault="002D5F92" w:rsidP="00C803C7">
      <w:pPr>
        <w:pStyle w:val="Notifbody"/>
        <w:rPr>
          <w:lang w:val="en-US"/>
        </w:rPr>
      </w:pPr>
      <w:r>
        <w:rPr>
          <w:lang w:val="en-US"/>
        </w:rPr>
        <w:t xml:space="preserve">The Competition Council of the Republic of Lithuania has not provided any objections or remarks </w:t>
      </w:r>
      <w:r w:rsidR="00B1218C">
        <w:rPr>
          <w:lang w:val="en-US"/>
        </w:rPr>
        <w:t xml:space="preserve">neither </w:t>
      </w:r>
      <w:r>
        <w:rPr>
          <w:lang w:val="en-US"/>
        </w:rPr>
        <w:t xml:space="preserve">on the </w:t>
      </w:r>
      <w:r w:rsidR="003B36F4">
        <w:rPr>
          <w:lang w:val="en-US"/>
        </w:rPr>
        <w:t xml:space="preserve">conclusions of </w:t>
      </w:r>
      <w:r w:rsidR="00B1218C">
        <w:rPr>
          <w:lang w:val="en-US"/>
        </w:rPr>
        <w:t>definition on M</w:t>
      </w:r>
      <w:r w:rsidR="003B36F4">
        <w:rPr>
          <w:lang w:val="en-US"/>
        </w:rPr>
        <w:t>arket</w:t>
      </w:r>
      <w:r w:rsidR="00B1218C">
        <w:rPr>
          <w:lang w:val="en-US"/>
        </w:rPr>
        <w:t>s</w:t>
      </w:r>
      <w:r w:rsidR="003B36F4">
        <w:rPr>
          <w:lang w:val="en-US"/>
        </w:rPr>
        <w:t xml:space="preserve"> </w:t>
      </w:r>
      <w:r w:rsidR="00B1218C">
        <w:rPr>
          <w:lang w:val="en-US"/>
        </w:rPr>
        <w:t xml:space="preserve">mentioned above nor </w:t>
      </w:r>
      <w:r w:rsidR="003B36F4">
        <w:rPr>
          <w:lang w:val="en-US"/>
        </w:rPr>
        <w:t>to the proposed</w:t>
      </w:r>
      <w:r w:rsidR="00B1218C">
        <w:rPr>
          <w:lang w:val="en-US"/>
        </w:rPr>
        <w:t xml:space="preserve"> measures on </w:t>
      </w:r>
      <w:r w:rsidR="003B36F4">
        <w:rPr>
          <w:lang w:val="en-US"/>
        </w:rPr>
        <w:t xml:space="preserve">the </w:t>
      </w:r>
      <w:r w:rsidR="00B1218C">
        <w:rPr>
          <w:lang w:val="en-US"/>
        </w:rPr>
        <w:t>current I</w:t>
      </w:r>
      <w:r w:rsidR="003B36F4">
        <w:rPr>
          <w:lang w:val="en-US"/>
        </w:rPr>
        <w:t>ncumbent</w:t>
      </w:r>
      <w:r w:rsidR="00B1218C">
        <w:rPr>
          <w:lang w:val="en-US"/>
        </w:rPr>
        <w:t xml:space="preserve"> (TEO LT, AB)</w:t>
      </w:r>
      <w:r w:rsidR="003B36F4">
        <w:rPr>
          <w:lang w:val="en-US"/>
        </w:rPr>
        <w:t xml:space="preserve">. </w:t>
      </w:r>
    </w:p>
    <w:p w:rsidR="00C803C7" w:rsidRDefault="00E63614" w:rsidP="00C803C7">
      <w:pPr>
        <w:pStyle w:val="Notifbody"/>
        <w:rPr>
          <w:lang w:val="en-US"/>
        </w:rPr>
      </w:pPr>
      <w:r>
        <w:rPr>
          <w:lang w:val="en-US"/>
        </w:rPr>
        <w:t xml:space="preserve">The AB </w:t>
      </w:r>
      <w:proofErr w:type="spellStart"/>
      <w:r>
        <w:rPr>
          <w:lang w:val="en-US"/>
        </w:rPr>
        <w:t>Lietuvos</w:t>
      </w:r>
      <w:proofErr w:type="spellEnd"/>
      <w:r>
        <w:rPr>
          <w:lang w:val="en-US"/>
        </w:rPr>
        <w:t xml:space="preserve"> </w:t>
      </w:r>
      <w:proofErr w:type="spellStart"/>
      <w:r>
        <w:rPr>
          <w:lang w:val="en-US"/>
        </w:rPr>
        <w:t>radijo</w:t>
      </w:r>
      <w:proofErr w:type="spellEnd"/>
      <w:r>
        <w:rPr>
          <w:lang w:val="en-US"/>
        </w:rPr>
        <w:t xml:space="preserve"> </w:t>
      </w:r>
      <w:proofErr w:type="spellStart"/>
      <w:r>
        <w:rPr>
          <w:lang w:val="en-US"/>
        </w:rPr>
        <w:t>ir</w:t>
      </w:r>
      <w:proofErr w:type="spellEnd"/>
      <w:r>
        <w:rPr>
          <w:lang w:val="en-US"/>
        </w:rPr>
        <w:t xml:space="preserve"> </w:t>
      </w:r>
      <w:proofErr w:type="spellStart"/>
      <w:r>
        <w:rPr>
          <w:lang w:val="en-US"/>
        </w:rPr>
        <w:t>televizijos</w:t>
      </w:r>
      <w:proofErr w:type="spellEnd"/>
      <w:r>
        <w:rPr>
          <w:lang w:val="en-US"/>
        </w:rPr>
        <w:t xml:space="preserve"> </w:t>
      </w:r>
      <w:proofErr w:type="spellStart"/>
      <w:r>
        <w:rPr>
          <w:lang w:val="en-US"/>
        </w:rPr>
        <w:t>centras</w:t>
      </w:r>
      <w:proofErr w:type="spellEnd"/>
      <w:r>
        <w:rPr>
          <w:lang w:val="en-US"/>
        </w:rPr>
        <w:t xml:space="preserve"> had provided the following comments:</w:t>
      </w:r>
      <w:r w:rsidR="00B1218C">
        <w:rPr>
          <w:lang w:val="en-US"/>
        </w:rPr>
        <w:t xml:space="preserve"> </w:t>
      </w:r>
    </w:p>
    <w:p w:rsidR="00C803C7" w:rsidRDefault="00E63614" w:rsidP="00C803C7">
      <w:pPr>
        <w:pStyle w:val="Notifbody"/>
        <w:numPr>
          <w:ilvl w:val="0"/>
          <w:numId w:val="18"/>
        </w:numPr>
        <w:rPr>
          <w:lang w:val="en-US"/>
        </w:rPr>
      </w:pPr>
      <w:r>
        <w:rPr>
          <w:lang w:val="en-US"/>
        </w:rPr>
        <w:t>The Incumbent, having large market shares (97 %) has huge countervailing buyer power and alternative operators holding small market share do not have such a countervailing buyer power</w:t>
      </w:r>
      <w:r w:rsidR="00EE3CA7">
        <w:rPr>
          <w:lang w:val="en-US"/>
        </w:rPr>
        <w:t>;</w:t>
      </w:r>
    </w:p>
    <w:p w:rsidR="00C803C7" w:rsidRDefault="00E63614" w:rsidP="00C803C7">
      <w:pPr>
        <w:pStyle w:val="Notifbody"/>
        <w:numPr>
          <w:ilvl w:val="0"/>
          <w:numId w:val="18"/>
        </w:numPr>
        <w:rPr>
          <w:lang w:val="en-US"/>
        </w:rPr>
      </w:pPr>
      <w:r>
        <w:rPr>
          <w:lang w:val="en-US"/>
        </w:rPr>
        <w:t>By increasing call charges from t</w:t>
      </w:r>
      <w:r w:rsidR="00EE3CA7" w:rsidRPr="009F16D4">
        <w:rPr>
          <w:lang w:val="en-US"/>
        </w:rPr>
        <w:t>he I</w:t>
      </w:r>
      <w:r w:rsidR="00FE2ADA" w:rsidRPr="009F16D4">
        <w:rPr>
          <w:lang w:val="en-US"/>
        </w:rPr>
        <w:t>ncumbent</w:t>
      </w:r>
      <w:r>
        <w:rPr>
          <w:lang w:val="en-US"/>
        </w:rPr>
        <w:t>’s network to alternative fixed operators networks TEO LT, AB would disrupt alternative operators</w:t>
      </w:r>
      <w:r w:rsidR="00FC1E54">
        <w:rPr>
          <w:lang w:val="en-US"/>
        </w:rPr>
        <w:t>.</w:t>
      </w:r>
      <w:r w:rsidR="00EE3CA7" w:rsidRPr="009F16D4">
        <w:rPr>
          <w:lang w:val="en-US"/>
        </w:rPr>
        <w:t xml:space="preserve"> </w:t>
      </w:r>
      <w:r>
        <w:rPr>
          <w:lang w:val="en-US"/>
        </w:rPr>
        <w:t>TEO LT, AB would create a barrier for calls to other alternative fixed networks.</w:t>
      </w:r>
    </w:p>
    <w:p w:rsidR="00C803C7" w:rsidRDefault="00E63614" w:rsidP="00C803C7">
      <w:pPr>
        <w:pStyle w:val="Notifbody"/>
        <w:numPr>
          <w:ilvl w:val="0"/>
          <w:numId w:val="18"/>
        </w:numPr>
        <w:rPr>
          <w:szCs w:val="24"/>
          <w:lang w:val="en-US"/>
        </w:rPr>
      </w:pPr>
      <w:r>
        <w:rPr>
          <w:szCs w:val="24"/>
          <w:lang w:val="en-US"/>
        </w:rPr>
        <w:t xml:space="preserve">After withdrawal of current regulation, </w:t>
      </w:r>
      <w:r w:rsidR="00EE3CA7" w:rsidRPr="009F16D4">
        <w:rPr>
          <w:szCs w:val="24"/>
          <w:lang w:val="en-US"/>
        </w:rPr>
        <w:t xml:space="preserve">the Incumbent </w:t>
      </w:r>
      <w:r>
        <w:rPr>
          <w:szCs w:val="24"/>
          <w:lang w:val="en-US"/>
        </w:rPr>
        <w:t xml:space="preserve">would </w:t>
      </w:r>
      <w:r w:rsidR="00CB557E">
        <w:rPr>
          <w:szCs w:val="24"/>
          <w:lang w:val="en-US"/>
        </w:rPr>
        <w:t>start offering very low (below costs) prices in public tenders. By doing this the Incumbent would eliminate alternative operators. It is not clear how prices would be secured then TEO LT, AB would start offering services bellow wholesale costs</w:t>
      </w:r>
      <w:r w:rsidR="009F16D4" w:rsidRPr="009F16D4">
        <w:rPr>
          <w:szCs w:val="24"/>
          <w:lang w:val="en-US"/>
        </w:rPr>
        <w:t>;</w:t>
      </w:r>
    </w:p>
    <w:p w:rsidR="00C803C7" w:rsidRPr="00C803C7" w:rsidRDefault="00CB557E" w:rsidP="00C803C7">
      <w:pPr>
        <w:pStyle w:val="Notifbody"/>
        <w:numPr>
          <w:ilvl w:val="0"/>
          <w:numId w:val="18"/>
        </w:numPr>
        <w:rPr>
          <w:lang w:val="en-US"/>
        </w:rPr>
      </w:pPr>
      <w:r>
        <w:rPr>
          <w:szCs w:val="24"/>
          <w:lang w:val="en-US"/>
        </w:rPr>
        <w:t>The existence of alternative operators was not assessed when the Incumbent having large market shares would be left without retail regulation.</w:t>
      </w:r>
    </w:p>
    <w:p w:rsidR="00C803C7" w:rsidRDefault="009F16D4" w:rsidP="00C803C7">
      <w:pPr>
        <w:pStyle w:val="Notifbody"/>
        <w:rPr>
          <w:lang w:val="en-US"/>
        </w:rPr>
      </w:pPr>
      <w:r w:rsidRPr="00C803C7">
        <w:rPr>
          <w:lang w:val="en-US"/>
        </w:rPr>
        <w:lastRenderedPageBreak/>
        <w:t>The operator</w:t>
      </w:r>
      <w:r w:rsidR="00CB557E">
        <w:rPr>
          <w:lang w:val="en-US"/>
        </w:rPr>
        <w:t>s</w:t>
      </w:r>
      <w:r w:rsidRPr="00C803C7">
        <w:rPr>
          <w:lang w:val="en-US"/>
        </w:rPr>
        <w:t xml:space="preserve"> </w:t>
      </w:r>
      <w:proofErr w:type="spellStart"/>
      <w:r w:rsidRPr="00C803C7">
        <w:rPr>
          <w:lang w:val="en-US"/>
        </w:rPr>
        <w:t>Nacionalinis</w:t>
      </w:r>
      <w:proofErr w:type="spellEnd"/>
      <w:r w:rsidRPr="00C803C7">
        <w:rPr>
          <w:lang w:val="en-US"/>
        </w:rPr>
        <w:t xml:space="preserve"> </w:t>
      </w:r>
      <w:proofErr w:type="spellStart"/>
      <w:r w:rsidRPr="00C803C7">
        <w:rPr>
          <w:lang w:val="en-US"/>
        </w:rPr>
        <w:t>telekomunikacijų</w:t>
      </w:r>
      <w:proofErr w:type="spellEnd"/>
      <w:r w:rsidRPr="00C803C7">
        <w:rPr>
          <w:lang w:val="en-US"/>
        </w:rPr>
        <w:t xml:space="preserve"> </w:t>
      </w:r>
      <w:proofErr w:type="spellStart"/>
      <w:r w:rsidRPr="00C803C7">
        <w:rPr>
          <w:lang w:val="en-US"/>
        </w:rPr>
        <w:t>tinklas</w:t>
      </w:r>
      <w:proofErr w:type="spellEnd"/>
      <w:r w:rsidRPr="00C803C7">
        <w:rPr>
          <w:lang w:val="en-US"/>
        </w:rPr>
        <w:t xml:space="preserve">, </w:t>
      </w:r>
      <w:r w:rsidR="00CB557E">
        <w:rPr>
          <w:lang w:val="en-US"/>
        </w:rPr>
        <w:t xml:space="preserve">UAB, CSC TELECOM, UAB, </w:t>
      </w:r>
      <w:proofErr w:type="spellStart"/>
      <w:r w:rsidR="00CB557E">
        <w:rPr>
          <w:lang w:val="en-US"/>
        </w:rPr>
        <w:t>Splius</w:t>
      </w:r>
      <w:proofErr w:type="spellEnd"/>
      <w:r w:rsidR="00CB557E">
        <w:rPr>
          <w:lang w:val="en-US"/>
        </w:rPr>
        <w:t xml:space="preserve">, UAB, </w:t>
      </w:r>
      <w:proofErr w:type="spellStart"/>
      <w:r w:rsidR="00CB557E">
        <w:rPr>
          <w:lang w:val="en-US"/>
        </w:rPr>
        <w:t>Cgates</w:t>
      </w:r>
      <w:proofErr w:type="spellEnd"/>
      <w:r w:rsidR="00CB557E">
        <w:rPr>
          <w:lang w:val="en-US"/>
        </w:rPr>
        <w:t xml:space="preserve">, UAB </w:t>
      </w:r>
      <w:r w:rsidRPr="00C803C7">
        <w:rPr>
          <w:lang w:val="en-US"/>
        </w:rPr>
        <w:t xml:space="preserve">(further </w:t>
      </w:r>
      <w:r w:rsidR="00FF4892" w:rsidRPr="00C803C7">
        <w:rPr>
          <w:lang w:val="en-US"/>
        </w:rPr>
        <w:t xml:space="preserve">referred to as </w:t>
      </w:r>
      <w:r w:rsidR="00CB557E">
        <w:rPr>
          <w:lang w:val="en-US"/>
        </w:rPr>
        <w:t>ALTNETS) have</w:t>
      </w:r>
      <w:r w:rsidRPr="00C803C7">
        <w:rPr>
          <w:lang w:val="en-US"/>
        </w:rPr>
        <w:t xml:space="preserve"> provided the</w:t>
      </w:r>
      <w:r w:rsidR="00C803C7">
        <w:rPr>
          <w:lang w:val="en-US"/>
        </w:rPr>
        <w:t xml:space="preserve"> following</w:t>
      </w:r>
      <w:r w:rsidRPr="00C803C7">
        <w:rPr>
          <w:lang w:val="en-US"/>
        </w:rPr>
        <w:t xml:space="preserve"> comment</w:t>
      </w:r>
      <w:r w:rsidR="00B552EB" w:rsidRPr="00C803C7">
        <w:rPr>
          <w:lang w:val="en-US"/>
        </w:rPr>
        <w:t>s</w:t>
      </w:r>
      <w:r w:rsidR="009422ED">
        <w:rPr>
          <w:lang w:val="en-US"/>
        </w:rPr>
        <w:t xml:space="preserve"> and suggestions</w:t>
      </w:r>
      <w:r w:rsidR="00B552EB" w:rsidRPr="00C803C7">
        <w:rPr>
          <w:lang w:val="en-US"/>
        </w:rPr>
        <w:t>:</w:t>
      </w:r>
    </w:p>
    <w:p w:rsidR="00C803C7" w:rsidRDefault="002273E9" w:rsidP="00C803C7">
      <w:pPr>
        <w:pStyle w:val="Notifbody"/>
        <w:numPr>
          <w:ilvl w:val="0"/>
          <w:numId w:val="19"/>
        </w:numPr>
        <w:rPr>
          <w:lang w:val="en-US"/>
        </w:rPr>
      </w:pPr>
      <w:r>
        <w:rPr>
          <w:lang w:val="en-US"/>
        </w:rPr>
        <w:t xml:space="preserve">The argument that the market structure in the Market for local and/or national calls at fixed location for residential customers was stable because investments are directed to fiber/LTE networks and because of this potential entrants are not interested </w:t>
      </w:r>
      <w:r w:rsidR="00FC1E54">
        <w:rPr>
          <w:lang w:val="en-US"/>
        </w:rPr>
        <w:t xml:space="preserve">in </w:t>
      </w:r>
      <w:r>
        <w:rPr>
          <w:lang w:val="en-US"/>
        </w:rPr>
        <w:t>this market are falls. Without investments were would be no alternative services providers</w:t>
      </w:r>
      <w:r w:rsidR="00B552EB">
        <w:rPr>
          <w:lang w:val="en-US"/>
        </w:rPr>
        <w:t>;</w:t>
      </w:r>
    </w:p>
    <w:p w:rsidR="004F4476" w:rsidRDefault="002273E9" w:rsidP="00C803C7">
      <w:pPr>
        <w:pStyle w:val="Notifbody"/>
        <w:numPr>
          <w:ilvl w:val="0"/>
          <w:numId w:val="19"/>
        </w:numPr>
        <w:rPr>
          <w:lang w:val="en-US"/>
        </w:rPr>
      </w:pPr>
      <w:r>
        <w:rPr>
          <w:lang w:val="en-US"/>
        </w:rPr>
        <w:t xml:space="preserve">The Markets structure was stable </w:t>
      </w:r>
      <w:r w:rsidR="004F4476">
        <w:rPr>
          <w:lang w:val="en-US"/>
        </w:rPr>
        <w:t xml:space="preserve">during market review </w:t>
      </w:r>
      <w:r>
        <w:rPr>
          <w:lang w:val="en-US"/>
        </w:rPr>
        <w:t>not because decline in demand, but because Incumbent</w:t>
      </w:r>
      <w:r w:rsidR="00FC1E54">
        <w:rPr>
          <w:lang w:val="en-US"/>
        </w:rPr>
        <w:t xml:space="preserve"> used its </w:t>
      </w:r>
      <w:r>
        <w:rPr>
          <w:lang w:val="en-US"/>
        </w:rPr>
        <w:t xml:space="preserve">power to act freely </w:t>
      </w:r>
      <w:r w:rsidR="004F4476">
        <w:rPr>
          <w:lang w:val="en-US"/>
        </w:rPr>
        <w:t>and to retain its markets shares;</w:t>
      </w:r>
    </w:p>
    <w:p w:rsidR="004F4476" w:rsidRDefault="004F4476" w:rsidP="00C803C7">
      <w:pPr>
        <w:pStyle w:val="Notifbody"/>
        <w:numPr>
          <w:ilvl w:val="0"/>
          <w:numId w:val="19"/>
        </w:numPr>
        <w:rPr>
          <w:lang w:val="en-US"/>
        </w:rPr>
      </w:pPr>
      <w:r>
        <w:rPr>
          <w:lang w:val="en-US"/>
        </w:rPr>
        <w:t xml:space="preserve">NRA has not evaluated circumstances that were evaluated in market analyses carried out in 2006 and 2008. In </w:t>
      </w:r>
      <w:r w:rsidR="00FC1E54">
        <w:rPr>
          <w:lang w:val="en-US"/>
        </w:rPr>
        <w:t xml:space="preserve">current </w:t>
      </w:r>
      <w:r>
        <w:rPr>
          <w:lang w:val="en-US"/>
        </w:rPr>
        <w:t xml:space="preserve">market analyses NRA has to assess </w:t>
      </w:r>
      <w:r w:rsidR="00FC1E54">
        <w:rPr>
          <w:lang w:val="en-US"/>
        </w:rPr>
        <w:t xml:space="preserve">criteria such as </w:t>
      </w:r>
      <w:r>
        <w:rPr>
          <w:lang w:val="en-US"/>
        </w:rPr>
        <w:t>control of infrastructure, economies of scale and scope, vertical integration, access to financial resources, limited impact of wholesale regulation in the same way as it was done in 2006 and 2008;</w:t>
      </w:r>
    </w:p>
    <w:p w:rsidR="002273E9" w:rsidRDefault="004F4476" w:rsidP="00C803C7">
      <w:pPr>
        <w:pStyle w:val="Notifbody"/>
        <w:numPr>
          <w:ilvl w:val="0"/>
          <w:numId w:val="19"/>
        </w:numPr>
        <w:rPr>
          <w:lang w:val="en-US"/>
        </w:rPr>
      </w:pPr>
      <w:r>
        <w:rPr>
          <w:lang w:val="en-US"/>
        </w:rPr>
        <w:t>ALTNETS propose not to withdraw but to increase regulation of TEO LT, AB retail call services;</w:t>
      </w:r>
    </w:p>
    <w:p w:rsidR="00C803C7" w:rsidRDefault="004F4476" w:rsidP="00C803C7">
      <w:pPr>
        <w:pStyle w:val="Notifbody"/>
        <w:numPr>
          <w:ilvl w:val="0"/>
          <w:numId w:val="19"/>
        </w:numPr>
        <w:rPr>
          <w:lang w:val="en-US"/>
        </w:rPr>
      </w:pPr>
      <w:r>
        <w:rPr>
          <w:lang w:val="en-US"/>
        </w:rPr>
        <w:t>Retail revenues were lower than call termination prices and this circumstances according to ALTNETS should be assessed in Market analyses;</w:t>
      </w:r>
    </w:p>
    <w:p w:rsidR="004F4476" w:rsidRDefault="001C7B60" w:rsidP="00C803C7">
      <w:pPr>
        <w:pStyle w:val="Notifbody"/>
        <w:numPr>
          <w:ilvl w:val="0"/>
          <w:numId w:val="19"/>
        </w:numPr>
        <w:rPr>
          <w:lang w:val="en-US"/>
        </w:rPr>
      </w:pPr>
      <w:r>
        <w:rPr>
          <w:lang w:val="en-US"/>
        </w:rPr>
        <w:t>ALTNETS propose uniform fixed termination and mobile termination prices;</w:t>
      </w:r>
    </w:p>
    <w:p w:rsidR="001C7B60" w:rsidRDefault="001C7B60" w:rsidP="00C803C7">
      <w:pPr>
        <w:pStyle w:val="Notifbody"/>
        <w:numPr>
          <w:ilvl w:val="0"/>
          <w:numId w:val="19"/>
        </w:numPr>
        <w:rPr>
          <w:lang w:val="en-US"/>
        </w:rPr>
      </w:pPr>
      <w:r>
        <w:rPr>
          <w:lang w:val="en-US"/>
        </w:rPr>
        <w:t>ALTNETS propose to regulate retail mobile prices by imposing that price of retail mobile call should not be lower than the sum of costs of mobile origination and mobile termination;</w:t>
      </w:r>
    </w:p>
    <w:p w:rsidR="001C7B60" w:rsidRDefault="001C7B60" w:rsidP="00C803C7">
      <w:pPr>
        <w:pStyle w:val="Notifbody"/>
        <w:numPr>
          <w:ilvl w:val="0"/>
          <w:numId w:val="19"/>
        </w:numPr>
        <w:rPr>
          <w:lang w:val="en-US"/>
        </w:rPr>
      </w:pPr>
      <w:r>
        <w:rPr>
          <w:lang w:val="en-US"/>
        </w:rPr>
        <w:t>Prices of Incumbents wholesale products are higher than retail prices and this limits competition. ALTNETS propose to assess this circumstances in Market analyses;</w:t>
      </w:r>
    </w:p>
    <w:p w:rsidR="001C7B60" w:rsidRDefault="001C7B60" w:rsidP="00C803C7">
      <w:pPr>
        <w:pStyle w:val="Notifbody"/>
        <w:numPr>
          <w:ilvl w:val="0"/>
          <w:numId w:val="19"/>
        </w:numPr>
        <w:rPr>
          <w:lang w:val="en-US"/>
        </w:rPr>
      </w:pPr>
      <w:r>
        <w:rPr>
          <w:lang w:val="en-US"/>
        </w:rPr>
        <w:t xml:space="preserve">ALTNETS propose to impose functional separation on the Incumbent; </w:t>
      </w:r>
    </w:p>
    <w:p w:rsidR="00C803C7" w:rsidRPr="00C803C7" w:rsidRDefault="00B552EB" w:rsidP="00C803C7">
      <w:pPr>
        <w:pStyle w:val="Notifbody"/>
        <w:numPr>
          <w:ilvl w:val="0"/>
          <w:numId w:val="19"/>
        </w:numPr>
        <w:rPr>
          <w:i/>
          <w:lang w:val="en-US"/>
        </w:rPr>
      </w:pPr>
      <w:proofErr w:type="gramStart"/>
      <w:r>
        <w:rPr>
          <w:lang w:val="en-US"/>
        </w:rPr>
        <w:t>other</w:t>
      </w:r>
      <w:proofErr w:type="gramEnd"/>
      <w:r>
        <w:rPr>
          <w:lang w:val="en-US"/>
        </w:rPr>
        <w:t xml:space="preserve"> remarks.</w:t>
      </w:r>
    </w:p>
    <w:p w:rsidR="009F16D4" w:rsidRPr="00C803C7" w:rsidRDefault="00135EE1" w:rsidP="00C803C7">
      <w:pPr>
        <w:pStyle w:val="Notifbody"/>
        <w:rPr>
          <w:i/>
          <w:lang w:val="en-US"/>
        </w:rPr>
      </w:pPr>
      <w:proofErr w:type="gramStart"/>
      <w:r w:rsidRPr="00C803C7">
        <w:rPr>
          <w:lang w:val="en-US"/>
        </w:rPr>
        <w:t>O</w:t>
      </w:r>
      <w:r w:rsidR="00D976D0" w:rsidRPr="00C803C7">
        <w:rPr>
          <w:lang w:val="en-US"/>
        </w:rPr>
        <w:t>verview of the results of the public consultation</w:t>
      </w:r>
      <w:r w:rsidR="00A85BD9" w:rsidRPr="00C803C7">
        <w:rPr>
          <w:lang w:val="en-US"/>
        </w:rPr>
        <w:t xml:space="preserve"> </w:t>
      </w:r>
      <w:r>
        <w:rPr>
          <w:lang w:val="en-US"/>
        </w:rPr>
        <w:t>(</w:t>
      </w:r>
      <w:r w:rsidR="009F16D4" w:rsidRPr="00C803C7">
        <w:rPr>
          <w:lang w:val="en-US"/>
        </w:rPr>
        <w:t>remarks of the market players and the comments of RRT</w:t>
      </w:r>
      <w:r>
        <w:rPr>
          <w:lang w:val="en-US"/>
        </w:rPr>
        <w:t>)</w:t>
      </w:r>
      <w:r w:rsidR="00D976D0" w:rsidRPr="00C803C7">
        <w:rPr>
          <w:lang w:val="en-US"/>
        </w:rPr>
        <w:t xml:space="preserve"> </w:t>
      </w:r>
      <w:r w:rsidR="00FF4892" w:rsidRPr="00C803C7">
        <w:rPr>
          <w:lang w:val="en-US"/>
        </w:rPr>
        <w:t>in more detail</w:t>
      </w:r>
      <w:r>
        <w:rPr>
          <w:lang w:val="en-US"/>
        </w:rPr>
        <w:t xml:space="preserve"> are</w:t>
      </w:r>
      <w:proofErr w:type="gramEnd"/>
      <w:r>
        <w:rPr>
          <w:lang w:val="en-US"/>
        </w:rPr>
        <w:t xml:space="preserve"> provided in the Annex </w:t>
      </w:r>
      <w:r w:rsidR="00697E4C">
        <w:rPr>
          <w:lang w:val="en-US"/>
        </w:rPr>
        <w:t>2 of</w:t>
      </w:r>
      <w:r>
        <w:rPr>
          <w:lang w:val="en-US"/>
        </w:rPr>
        <w:t xml:space="preserve"> the Market analyses Report.</w:t>
      </w:r>
    </w:p>
    <w:p w:rsidR="00E3365A" w:rsidRDefault="00E3365A" w:rsidP="003B36F4">
      <w:pPr>
        <w:autoSpaceDE w:val="0"/>
        <w:autoSpaceDN w:val="0"/>
        <w:adjustRightInd w:val="0"/>
        <w:jc w:val="both"/>
        <w:rPr>
          <w:i/>
          <w:lang w:val="lt-LT" w:eastAsia="lt-LT"/>
        </w:rPr>
      </w:pPr>
      <w:r w:rsidRPr="00E3365A">
        <w:rPr>
          <w:i/>
          <w:lang w:val="lt-LT" w:eastAsia="lt-LT"/>
        </w:rPr>
        <w:t xml:space="preserve">1.4. A </w:t>
      </w:r>
      <w:proofErr w:type="spellStart"/>
      <w:r w:rsidRPr="00E3365A">
        <w:rPr>
          <w:i/>
          <w:lang w:val="lt-LT" w:eastAsia="lt-LT"/>
        </w:rPr>
        <w:t>brief</w:t>
      </w:r>
      <w:proofErr w:type="spellEnd"/>
      <w:r w:rsidRPr="00E3365A">
        <w:rPr>
          <w:i/>
          <w:lang w:val="lt-LT" w:eastAsia="lt-LT"/>
        </w:rPr>
        <w:t xml:space="preserve"> </w:t>
      </w:r>
      <w:proofErr w:type="spellStart"/>
      <w:r w:rsidRPr="00E3365A">
        <w:rPr>
          <w:i/>
          <w:lang w:val="lt-LT" w:eastAsia="lt-LT"/>
        </w:rPr>
        <w:t>overview</w:t>
      </w:r>
      <w:proofErr w:type="spellEnd"/>
      <w:r w:rsidRPr="00E3365A">
        <w:rPr>
          <w:i/>
          <w:lang w:val="lt-LT" w:eastAsia="lt-LT"/>
        </w:rPr>
        <w:t xml:space="preserve"> </w:t>
      </w:r>
      <w:proofErr w:type="spellStart"/>
      <w:r w:rsidRPr="00E3365A">
        <w:rPr>
          <w:i/>
          <w:lang w:val="lt-LT" w:eastAsia="lt-LT"/>
        </w:rPr>
        <w:t>of</w:t>
      </w:r>
      <w:proofErr w:type="spellEnd"/>
      <w:r w:rsidRPr="00E3365A">
        <w:rPr>
          <w:i/>
          <w:lang w:val="lt-LT" w:eastAsia="lt-LT"/>
        </w:rPr>
        <w:t xml:space="preserve"> </w:t>
      </w:r>
      <w:proofErr w:type="spellStart"/>
      <w:r w:rsidRPr="00E3365A">
        <w:rPr>
          <w:i/>
          <w:lang w:val="lt-LT" w:eastAsia="lt-LT"/>
        </w:rPr>
        <w:t>the</w:t>
      </w:r>
      <w:proofErr w:type="spellEnd"/>
      <w:r w:rsidRPr="00E3365A">
        <w:rPr>
          <w:i/>
          <w:lang w:val="lt-LT" w:eastAsia="lt-LT"/>
        </w:rPr>
        <w:t xml:space="preserve"> </w:t>
      </w:r>
      <w:proofErr w:type="spellStart"/>
      <w:r w:rsidRPr="00E3365A">
        <w:rPr>
          <w:i/>
          <w:lang w:val="lt-LT" w:eastAsia="lt-LT"/>
        </w:rPr>
        <w:t>results</w:t>
      </w:r>
      <w:proofErr w:type="spellEnd"/>
      <w:r w:rsidRPr="00E3365A">
        <w:rPr>
          <w:i/>
          <w:lang w:val="lt-LT" w:eastAsia="lt-LT"/>
        </w:rPr>
        <w:t xml:space="preserve"> </w:t>
      </w:r>
      <w:proofErr w:type="spellStart"/>
      <w:r w:rsidRPr="00E3365A">
        <w:rPr>
          <w:i/>
          <w:lang w:val="lt-LT" w:eastAsia="lt-LT"/>
        </w:rPr>
        <w:t>of</w:t>
      </w:r>
      <w:proofErr w:type="spellEnd"/>
      <w:r w:rsidRPr="00E3365A">
        <w:rPr>
          <w:i/>
          <w:lang w:val="lt-LT" w:eastAsia="lt-LT"/>
        </w:rPr>
        <w:t xml:space="preserve"> </w:t>
      </w:r>
      <w:proofErr w:type="spellStart"/>
      <w:r w:rsidRPr="00E3365A">
        <w:rPr>
          <w:i/>
          <w:lang w:val="lt-LT" w:eastAsia="lt-LT"/>
        </w:rPr>
        <w:t>the</w:t>
      </w:r>
      <w:proofErr w:type="spellEnd"/>
      <w:r w:rsidRPr="00E3365A">
        <w:rPr>
          <w:i/>
          <w:lang w:val="lt-LT" w:eastAsia="lt-LT"/>
        </w:rPr>
        <w:t xml:space="preserve"> </w:t>
      </w:r>
      <w:proofErr w:type="spellStart"/>
      <w:r w:rsidRPr="00E3365A">
        <w:rPr>
          <w:i/>
          <w:lang w:val="lt-LT" w:eastAsia="lt-LT"/>
        </w:rPr>
        <w:t>public</w:t>
      </w:r>
      <w:proofErr w:type="spellEnd"/>
      <w:r w:rsidRPr="00E3365A">
        <w:rPr>
          <w:i/>
          <w:lang w:val="lt-LT" w:eastAsia="lt-LT"/>
        </w:rPr>
        <w:t xml:space="preserve"> </w:t>
      </w:r>
      <w:proofErr w:type="spellStart"/>
      <w:r w:rsidRPr="00E3365A">
        <w:rPr>
          <w:i/>
          <w:lang w:val="lt-LT" w:eastAsia="lt-LT"/>
        </w:rPr>
        <w:t>consultation</w:t>
      </w:r>
      <w:proofErr w:type="spellEnd"/>
      <w:r w:rsidRPr="00E3365A">
        <w:rPr>
          <w:i/>
          <w:lang w:val="lt-LT" w:eastAsia="lt-LT"/>
        </w:rPr>
        <w:t xml:space="preserve"> to </w:t>
      </w:r>
      <w:proofErr w:type="spellStart"/>
      <w:r w:rsidRPr="00E3365A">
        <w:rPr>
          <w:i/>
          <w:lang w:val="lt-LT" w:eastAsia="lt-LT"/>
        </w:rPr>
        <w:t>date</w:t>
      </w:r>
      <w:proofErr w:type="spellEnd"/>
      <w:r w:rsidRPr="00E3365A">
        <w:rPr>
          <w:i/>
          <w:lang w:val="lt-LT" w:eastAsia="lt-LT"/>
        </w:rPr>
        <w:t xml:space="preserve"> </w:t>
      </w:r>
      <w:proofErr w:type="spellStart"/>
      <w:r w:rsidRPr="00E3365A">
        <w:rPr>
          <w:i/>
          <w:lang w:val="lt-LT" w:eastAsia="lt-LT"/>
        </w:rPr>
        <w:t>on</w:t>
      </w:r>
      <w:proofErr w:type="spellEnd"/>
      <w:r w:rsidRPr="00E3365A">
        <w:rPr>
          <w:i/>
          <w:lang w:val="lt-LT" w:eastAsia="lt-LT"/>
        </w:rPr>
        <w:t xml:space="preserve"> </w:t>
      </w:r>
      <w:proofErr w:type="spellStart"/>
      <w:r w:rsidRPr="00E3365A">
        <w:rPr>
          <w:i/>
          <w:lang w:val="lt-LT" w:eastAsia="lt-LT"/>
        </w:rPr>
        <w:t>the</w:t>
      </w:r>
      <w:proofErr w:type="spellEnd"/>
      <w:r w:rsidRPr="00E3365A">
        <w:rPr>
          <w:i/>
          <w:lang w:val="lt-LT" w:eastAsia="lt-LT"/>
        </w:rPr>
        <w:t xml:space="preserve"> </w:t>
      </w:r>
      <w:proofErr w:type="spellStart"/>
      <w:r w:rsidRPr="00E3365A">
        <w:rPr>
          <w:i/>
          <w:lang w:val="lt-LT" w:eastAsia="lt-LT"/>
        </w:rPr>
        <w:t>proposed</w:t>
      </w:r>
      <w:proofErr w:type="spellEnd"/>
      <w:r w:rsidRPr="00E3365A">
        <w:rPr>
          <w:i/>
          <w:lang w:val="lt-LT" w:eastAsia="lt-LT"/>
        </w:rPr>
        <w:t xml:space="preserve"> </w:t>
      </w:r>
      <w:proofErr w:type="spellStart"/>
      <w:r w:rsidRPr="00E3365A">
        <w:rPr>
          <w:i/>
          <w:lang w:val="lt-LT" w:eastAsia="lt-LT"/>
        </w:rPr>
        <w:t>m</w:t>
      </w:r>
      <w:r>
        <w:rPr>
          <w:i/>
          <w:lang w:val="lt-LT" w:eastAsia="lt-LT"/>
        </w:rPr>
        <w:t>arket</w:t>
      </w:r>
      <w:proofErr w:type="spellEnd"/>
      <w:r>
        <w:rPr>
          <w:i/>
          <w:lang w:val="lt-LT" w:eastAsia="lt-LT"/>
        </w:rPr>
        <w:t xml:space="preserve"> </w:t>
      </w:r>
      <w:proofErr w:type="spellStart"/>
      <w:r>
        <w:rPr>
          <w:i/>
          <w:lang w:val="lt-LT" w:eastAsia="lt-LT"/>
        </w:rPr>
        <w:t>definition</w:t>
      </w:r>
      <w:proofErr w:type="spellEnd"/>
      <w:r>
        <w:rPr>
          <w:i/>
          <w:lang w:val="lt-LT" w:eastAsia="lt-LT"/>
        </w:rPr>
        <w:t xml:space="preserve"> (</w:t>
      </w:r>
      <w:proofErr w:type="spellStart"/>
      <w:r>
        <w:rPr>
          <w:i/>
          <w:lang w:val="lt-LT" w:eastAsia="lt-LT"/>
        </w:rPr>
        <w:t>e.g</w:t>
      </w:r>
      <w:proofErr w:type="spellEnd"/>
      <w:r>
        <w:rPr>
          <w:i/>
          <w:lang w:val="lt-LT" w:eastAsia="lt-LT"/>
        </w:rPr>
        <w:t xml:space="preserve">. </w:t>
      </w:r>
      <w:proofErr w:type="spellStart"/>
      <w:r>
        <w:rPr>
          <w:i/>
          <w:lang w:val="lt-LT" w:eastAsia="lt-LT"/>
        </w:rPr>
        <w:t>how</w:t>
      </w:r>
      <w:proofErr w:type="spellEnd"/>
      <w:r>
        <w:rPr>
          <w:i/>
          <w:lang w:val="lt-LT" w:eastAsia="lt-LT"/>
        </w:rPr>
        <w:t xml:space="preserve"> many </w:t>
      </w:r>
      <w:proofErr w:type="spellStart"/>
      <w:r w:rsidRPr="00E3365A">
        <w:rPr>
          <w:i/>
          <w:lang w:val="lt-LT" w:eastAsia="lt-LT"/>
        </w:rPr>
        <w:t>comments</w:t>
      </w:r>
      <w:proofErr w:type="spellEnd"/>
      <w:r w:rsidRPr="00E3365A">
        <w:rPr>
          <w:i/>
          <w:lang w:val="lt-LT" w:eastAsia="lt-LT"/>
        </w:rPr>
        <w:t xml:space="preserve"> </w:t>
      </w:r>
      <w:proofErr w:type="spellStart"/>
      <w:r w:rsidRPr="00E3365A">
        <w:rPr>
          <w:i/>
          <w:lang w:val="lt-LT" w:eastAsia="lt-LT"/>
        </w:rPr>
        <w:t>were</w:t>
      </w:r>
      <w:proofErr w:type="spellEnd"/>
      <w:r w:rsidRPr="00E3365A">
        <w:rPr>
          <w:i/>
          <w:lang w:val="lt-LT" w:eastAsia="lt-LT"/>
        </w:rPr>
        <w:t xml:space="preserve"> </w:t>
      </w:r>
      <w:proofErr w:type="spellStart"/>
      <w:r w:rsidRPr="00E3365A">
        <w:rPr>
          <w:i/>
          <w:lang w:val="lt-LT" w:eastAsia="lt-LT"/>
        </w:rPr>
        <w:t>received</w:t>
      </w:r>
      <w:proofErr w:type="spellEnd"/>
      <w:r w:rsidRPr="00E3365A">
        <w:rPr>
          <w:i/>
          <w:lang w:val="lt-LT" w:eastAsia="lt-LT"/>
        </w:rPr>
        <w:t xml:space="preserve">, </w:t>
      </w:r>
      <w:proofErr w:type="spellStart"/>
      <w:r w:rsidRPr="00E3365A">
        <w:rPr>
          <w:i/>
          <w:lang w:val="lt-LT" w:eastAsia="lt-LT"/>
        </w:rPr>
        <w:t>which</w:t>
      </w:r>
      <w:proofErr w:type="spellEnd"/>
      <w:r w:rsidRPr="00E3365A">
        <w:rPr>
          <w:i/>
          <w:lang w:val="lt-LT" w:eastAsia="lt-LT"/>
        </w:rPr>
        <w:t xml:space="preserve"> </w:t>
      </w:r>
      <w:proofErr w:type="spellStart"/>
      <w:r w:rsidRPr="00E3365A">
        <w:rPr>
          <w:i/>
          <w:lang w:val="lt-LT" w:eastAsia="lt-LT"/>
        </w:rPr>
        <w:t>respondents</w:t>
      </w:r>
      <w:proofErr w:type="spellEnd"/>
      <w:r w:rsidRPr="00E3365A">
        <w:rPr>
          <w:i/>
          <w:lang w:val="lt-LT" w:eastAsia="lt-LT"/>
        </w:rPr>
        <w:t xml:space="preserve"> </w:t>
      </w:r>
      <w:proofErr w:type="spellStart"/>
      <w:r w:rsidRPr="00E3365A">
        <w:rPr>
          <w:i/>
          <w:lang w:val="lt-LT" w:eastAsia="lt-LT"/>
        </w:rPr>
        <w:t>agreed</w:t>
      </w:r>
      <w:proofErr w:type="spellEnd"/>
      <w:r w:rsidRPr="00E3365A">
        <w:rPr>
          <w:i/>
          <w:lang w:val="lt-LT" w:eastAsia="lt-LT"/>
        </w:rPr>
        <w:t xml:space="preserve"> </w:t>
      </w:r>
      <w:proofErr w:type="spellStart"/>
      <w:r w:rsidRPr="00E3365A">
        <w:rPr>
          <w:i/>
          <w:lang w:val="lt-LT" w:eastAsia="lt-LT"/>
        </w:rPr>
        <w:t>with</w:t>
      </w:r>
      <w:proofErr w:type="spellEnd"/>
      <w:r w:rsidRPr="00E3365A">
        <w:rPr>
          <w:i/>
          <w:lang w:val="lt-LT" w:eastAsia="lt-LT"/>
        </w:rPr>
        <w:t xml:space="preserve"> </w:t>
      </w:r>
      <w:proofErr w:type="spellStart"/>
      <w:r w:rsidRPr="00E3365A">
        <w:rPr>
          <w:i/>
          <w:lang w:val="lt-LT" w:eastAsia="lt-LT"/>
        </w:rPr>
        <w:t>the</w:t>
      </w:r>
      <w:proofErr w:type="spellEnd"/>
      <w:r w:rsidRPr="00E3365A">
        <w:rPr>
          <w:i/>
          <w:lang w:val="lt-LT" w:eastAsia="lt-LT"/>
        </w:rPr>
        <w:t xml:space="preserve"> </w:t>
      </w:r>
      <w:proofErr w:type="spellStart"/>
      <w:r w:rsidRPr="00E3365A">
        <w:rPr>
          <w:i/>
          <w:lang w:val="lt-LT" w:eastAsia="lt-LT"/>
        </w:rPr>
        <w:t>proposed</w:t>
      </w:r>
      <w:proofErr w:type="spellEnd"/>
      <w:r w:rsidRPr="00E3365A">
        <w:rPr>
          <w:i/>
          <w:lang w:val="lt-LT" w:eastAsia="lt-LT"/>
        </w:rPr>
        <w:t xml:space="preserve"> </w:t>
      </w:r>
      <w:proofErr w:type="spellStart"/>
      <w:r w:rsidRPr="00E3365A">
        <w:rPr>
          <w:i/>
          <w:lang w:val="lt-LT" w:eastAsia="lt-LT"/>
        </w:rPr>
        <w:t>marke</w:t>
      </w:r>
      <w:r>
        <w:rPr>
          <w:i/>
          <w:lang w:val="lt-LT" w:eastAsia="lt-LT"/>
        </w:rPr>
        <w:t>t</w:t>
      </w:r>
      <w:proofErr w:type="spellEnd"/>
      <w:r>
        <w:rPr>
          <w:i/>
          <w:lang w:val="lt-LT" w:eastAsia="lt-LT"/>
        </w:rPr>
        <w:t xml:space="preserve"> </w:t>
      </w:r>
      <w:proofErr w:type="spellStart"/>
      <w:r>
        <w:rPr>
          <w:i/>
          <w:lang w:val="lt-LT" w:eastAsia="lt-LT"/>
        </w:rPr>
        <w:t>definition</w:t>
      </w:r>
      <w:proofErr w:type="spellEnd"/>
      <w:r>
        <w:rPr>
          <w:i/>
          <w:lang w:val="lt-LT" w:eastAsia="lt-LT"/>
        </w:rPr>
        <w:t xml:space="preserve">, </w:t>
      </w:r>
      <w:proofErr w:type="spellStart"/>
      <w:r>
        <w:rPr>
          <w:i/>
          <w:lang w:val="lt-LT" w:eastAsia="lt-LT"/>
        </w:rPr>
        <w:t>which</w:t>
      </w:r>
      <w:proofErr w:type="spellEnd"/>
      <w:r>
        <w:rPr>
          <w:i/>
          <w:lang w:val="lt-LT" w:eastAsia="lt-LT"/>
        </w:rPr>
        <w:t xml:space="preserve"> </w:t>
      </w:r>
      <w:proofErr w:type="spellStart"/>
      <w:r>
        <w:rPr>
          <w:i/>
          <w:lang w:val="lt-LT" w:eastAsia="lt-LT"/>
        </w:rPr>
        <w:t>respondents</w:t>
      </w:r>
      <w:proofErr w:type="spellEnd"/>
      <w:r>
        <w:rPr>
          <w:i/>
          <w:lang w:val="lt-LT" w:eastAsia="lt-LT"/>
        </w:rPr>
        <w:t xml:space="preserve"> </w:t>
      </w:r>
      <w:proofErr w:type="spellStart"/>
      <w:r w:rsidRPr="00E3365A">
        <w:rPr>
          <w:i/>
          <w:lang w:val="lt-LT" w:eastAsia="lt-LT"/>
        </w:rPr>
        <w:t>disagreed</w:t>
      </w:r>
      <w:proofErr w:type="spellEnd"/>
      <w:r w:rsidRPr="00E3365A">
        <w:rPr>
          <w:i/>
          <w:lang w:val="lt-LT" w:eastAsia="lt-LT"/>
        </w:rPr>
        <w:t xml:space="preserve"> </w:t>
      </w:r>
      <w:proofErr w:type="spellStart"/>
      <w:r w:rsidRPr="00E3365A">
        <w:rPr>
          <w:i/>
          <w:lang w:val="lt-LT" w:eastAsia="lt-LT"/>
        </w:rPr>
        <w:t>with</w:t>
      </w:r>
      <w:proofErr w:type="spellEnd"/>
      <w:r w:rsidRPr="00E3365A">
        <w:rPr>
          <w:i/>
          <w:lang w:val="lt-LT" w:eastAsia="lt-LT"/>
        </w:rPr>
        <w:t xml:space="preserve"> it).</w:t>
      </w:r>
    </w:p>
    <w:p w:rsidR="00E3365A" w:rsidRDefault="00E3365A" w:rsidP="00E3365A">
      <w:pPr>
        <w:autoSpaceDE w:val="0"/>
        <w:autoSpaceDN w:val="0"/>
        <w:adjustRightInd w:val="0"/>
        <w:rPr>
          <w:i/>
          <w:lang w:val="lt-LT" w:eastAsia="lt-LT"/>
        </w:rPr>
      </w:pPr>
    </w:p>
    <w:p w:rsidR="00E3365A" w:rsidRPr="00E3365A" w:rsidRDefault="001C7B60" w:rsidP="00E3365A">
      <w:pPr>
        <w:pStyle w:val="BodyText"/>
        <w:jc w:val="both"/>
        <w:rPr>
          <w:lang w:val="en-US"/>
        </w:rPr>
      </w:pPr>
      <w:r>
        <w:rPr>
          <w:lang w:val="en-US"/>
        </w:rPr>
        <w:t xml:space="preserve">No comments were received for the market definition. ALTNETS have provided comments </w:t>
      </w:r>
      <w:r w:rsidR="009C1D4F">
        <w:rPr>
          <w:lang w:val="en-US"/>
        </w:rPr>
        <w:t>on procedures how the competiti</w:t>
      </w:r>
      <w:r>
        <w:rPr>
          <w:lang w:val="en-US"/>
        </w:rPr>
        <w:t xml:space="preserve">on </w:t>
      </w:r>
      <w:r w:rsidR="009C1D4F">
        <w:rPr>
          <w:lang w:val="en-US"/>
        </w:rPr>
        <w:t>situation was valued in the particular Market.</w:t>
      </w:r>
    </w:p>
    <w:p w:rsidR="003A70A2" w:rsidRPr="008D1156" w:rsidRDefault="003A70A2" w:rsidP="00FF7394">
      <w:pPr>
        <w:rPr>
          <w:lang w:val="en-US"/>
        </w:rPr>
      </w:pPr>
    </w:p>
    <w:p w:rsidR="003A70A2" w:rsidRDefault="003A70A2" w:rsidP="0054363A">
      <w:pPr>
        <w:pStyle w:val="Notifqu"/>
        <w:ind w:left="0" w:hanging="10"/>
        <w:jc w:val="both"/>
        <w:rPr>
          <w:szCs w:val="24"/>
          <w:lang w:val="en-US"/>
        </w:rPr>
      </w:pPr>
      <w:r w:rsidRPr="008D1156">
        <w:rPr>
          <w:szCs w:val="24"/>
          <w:lang w:val="en-US"/>
        </w:rPr>
        <w:lastRenderedPageBreak/>
        <w:t>1.5 Where the relevant market is different from those listed in the Recommendation on relevant markets, a summary of the main reasons justifying the proposed market definition by reference to Section 2 of the Commission Guidelines on market analysis and the assessment of significant market power under the Community regulatory framework for electronic communications and services, and the three main criteria mentioned in recitals 5 to 13 of the Recommendation on relevant markets and Section 2.2 of the accompanying Explanatory Note.</w:t>
      </w:r>
    </w:p>
    <w:p w:rsidR="009C1D4F" w:rsidRDefault="009C1D4F" w:rsidP="009C1D4F">
      <w:pPr>
        <w:pStyle w:val="BodyText2"/>
        <w:spacing w:after="0" w:line="240" w:lineRule="auto"/>
        <w:ind w:firstLine="720"/>
        <w:jc w:val="both"/>
        <w:rPr>
          <w:bCs/>
          <w:iCs/>
          <w:lang w:val="en-US"/>
        </w:rPr>
      </w:pPr>
      <w:r>
        <w:rPr>
          <w:lang w:val="en-US"/>
        </w:rPr>
        <w:t xml:space="preserve">Markets analyzed were defined in </w:t>
      </w:r>
      <w:r w:rsidRPr="009C1D4F">
        <w:rPr>
          <w:bCs/>
          <w:iCs/>
          <w:lang w:val="en-US"/>
        </w:rPr>
        <w:t>the Commission Recommendation 2003/11/EC</w:t>
      </w:r>
      <w:r>
        <w:rPr>
          <w:bCs/>
          <w:iCs/>
          <w:lang w:val="en-US"/>
        </w:rPr>
        <w:t xml:space="preserve">. Those markets are not listed in current </w:t>
      </w:r>
      <w:r w:rsidR="00941902">
        <w:rPr>
          <w:bCs/>
          <w:iCs/>
          <w:lang w:val="en-US"/>
        </w:rPr>
        <w:t xml:space="preserve">Commission </w:t>
      </w:r>
      <w:r>
        <w:rPr>
          <w:bCs/>
          <w:iCs/>
          <w:lang w:val="en-US"/>
        </w:rPr>
        <w:t>Recommendation of the relevant markets. So RRT has firstly defined particular markets and after that has committed a so called “3 crit</w:t>
      </w:r>
      <w:r w:rsidR="00941902">
        <w:rPr>
          <w:bCs/>
          <w:iCs/>
          <w:lang w:val="en-US"/>
        </w:rPr>
        <w:t>e</w:t>
      </w:r>
      <w:r>
        <w:rPr>
          <w:bCs/>
          <w:iCs/>
          <w:lang w:val="en-US"/>
        </w:rPr>
        <w:t xml:space="preserve">ria test”. </w:t>
      </w:r>
      <w:r w:rsidR="002036A6">
        <w:rPr>
          <w:bCs/>
          <w:iCs/>
          <w:lang w:val="en-US"/>
        </w:rPr>
        <w:t>Markets were defined using tests of demand and supply side substitution.</w:t>
      </w:r>
    </w:p>
    <w:p w:rsidR="009C1D4F" w:rsidRDefault="009C1D4F" w:rsidP="009C1D4F">
      <w:pPr>
        <w:pStyle w:val="BodyText2"/>
        <w:spacing w:after="0" w:line="240" w:lineRule="auto"/>
        <w:ind w:firstLine="720"/>
        <w:jc w:val="both"/>
        <w:rPr>
          <w:bCs/>
          <w:iCs/>
          <w:lang w:val="en-US"/>
        </w:rPr>
      </w:pPr>
      <w:r>
        <w:rPr>
          <w:bCs/>
          <w:iCs/>
          <w:lang w:val="en-US"/>
        </w:rPr>
        <w:t xml:space="preserve">By defining particular market, RRT firstly has analyzed whether services provided to residential and non-residential fall in the same market. </w:t>
      </w:r>
      <w:r w:rsidR="002036A6">
        <w:rPr>
          <w:bCs/>
          <w:iCs/>
          <w:lang w:val="en-US"/>
        </w:rPr>
        <w:t>Due to difference in prices and service buying procedure, Markets for call services were separated into services for residential and non-residential customers. After that</w:t>
      </w:r>
      <w:r w:rsidR="00941902">
        <w:rPr>
          <w:bCs/>
          <w:iCs/>
          <w:lang w:val="en-US"/>
        </w:rPr>
        <w:t>,</w:t>
      </w:r>
      <w:r w:rsidR="002036A6">
        <w:rPr>
          <w:bCs/>
          <w:iCs/>
          <w:lang w:val="en-US"/>
        </w:rPr>
        <w:t xml:space="preserve"> markets were separated into local and/or national (here after – national) calls and international calls due to price differences and different purpose services are used for. Lastly RRT has analyzed whether fixed and mobile calls would fall in the same market. Though </w:t>
      </w:r>
      <w:r w:rsidR="00941902">
        <w:rPr>
          <w:bCs/>
          <w:iCs/>
          <w:lang w:val="en-US"/>
        </w:rPr>
        <w:t xml:space="preserve">mobile telephone services guaranty </w:t>
      </w:r>
      <w:r w:rsidR="002036A6">
        <w:rPr>
          <w:bCs/>
          <w:iCs/>
          <w:lang w:val="en-US"/>
        </w:rPr>
        <w:t>functionality of mobility</w:t>
      </w:r>
      <w:r w:rsidR="00941902">
        <w:rPr>
          <w:bCs/>
          <w:iCs/>
          <w:lang w:val="en-US"/>
        </w:rPr>
        <w:t>, there was an</w:t>
      </w:r>
      <w:r w:rsidR="002036A6">
        <w:rPr>
          <w:bCs/>
          <w:iCs/>
          <w:lang w:val="en-US"/>
        </w:rPr>
        <w:t xml:space="preserve"> increase in call duration</w:t>
      </w:r>
      <w:r w:rsidR="00941902">
        <w:rPr>
          <w:bCs/>
          <w:iCs/>
          <w:lang w:val="en-US"/>
        </w:rPr>
        <w:t xml:space="preserve"> of mobile calls during review period and </w:t>
      </w:r>
      <w:r w:rsidR="002036A6">
        <w:rPr>
          <w:bCs/>
          <w:iCs/>
          <w:lang w:val="en-US"/>
        </w:rPr>
        <w:t xml:space="preserve">increase in </w:t>
      </w:r>
      <w:r w:rsidR="00B80A7A">
        <w:rPr>
          <w:bCs/>
          <w:iCs/>
          <w:lang w:val="en-US"/>
        </w:rPr>
        <w:t xml:space="preserve">number of customers </w:t>
      </w:r>
      <w:r w:rsidR="00941902">
        <w:rPr>
          <w:bCs/>
          <w:iCs/>
          <w:lang w:val="en-US"/>
        </w:rPr>
        <w:t xml:space="preserve">using mobile phones and services </w:t>
      </w:r>
      <w:r w:rsidR="00B80A7A">
        <w:rPr>
          <w:bCs/>
          <w:iCs/>
          <w:lang w:val="en-US"/>
        </w:rPr>
        <w:t>showed that fixed telephone calls could be substituted by mobile phone calls it is not possible to do the other way. Due to this one way substitution fixed telephone calls and mobile telephone calls were not included in the same market.</w:t>
      </w:r>
      <w:r w:rsidR="00941902">
        <w:rPr>
          <w:bCs/>
          <w:iCs/>
          <w:lang w:val="en-US"/>
        </w:rPr>
        <w:t xml:space="preserve"> But RRT sees pressure from mobile </w:t>
      </w:r>
      <w:r w:rsidR="002A70B1">
        <w:rPr>
          <w:bCs/>
          <w:iCs/>
          <w:lang w:val="en-US"/>
        </w:rPr>
        <w:t xml:space="preserve">call </w:t>
      </w:r>
      <w:r w:rsidR="00941902">
        <w:rPr>
          <w:bCs/>
          <w:iCs/>
          <w:lang w:val="en-US"/>
        </w:rPr>
        <w:t xml:space="preserve">prices on </w:t>
      </w:r>
      <w:r w:rsidR="002A70B1">
        <w:rPr>
          <w:bCs/>
          <w:iCs/>
          <w:lang w:val="en-US"/>
        </w:rPr>
        <w:t>fixed call prices.</w:t>
      </w:r>
    </w:p>
    <w:p w:rsidR="002629EB" w:rsidRDefault="00B80A7A" w:rsidP="009C1D4F">
      <w:pPr>
        <w:pStyle w:val="BodyText2"/>
        <w:spacing w:after="0" w:line="240" w:lineRule="auto"/>
        <w:ind w:firstLine="720"/>
        <w:jc w:val="both"/>
        <w:rPr>
          <w:bCs/>
          <w:iCs/>
          <w:lang w:val="en-US"/>
        </w:rPr>
      </w:pPr>
      <w:r>
        <w:rPr>
          <w:bCs/>
          <w:iCs/>
          <w:lang w:val="en-US"/>
        </w:rPr>
        <w:t>After defining separate Markets RRT</w:t>
      </w:r>
      <w:r w:rsidR="00783DE5">
        <w:rPr>
          <w:bCs/>
          <w:iCs/>
          <w:lang w:val="en-US"/>
        </w:rPr>
        <w:t>,</w:t>
      </w:r>
      <w:r>
        <w:rPr>
          <w:bCs/>
          <w:iCs/>
          <w:lang w:val="en-US"/>
        </w:rPr>
        <w:t xml:space="preserve"> has made </w:t>
      </w:r>
      <w:r w:rsidR="00783DE5">
        <w:rPr>
          <w:bCs/>
          <w:iCs/>
          <w:lang w:val="en-US"/>
        </w:rPr>
        <w:t xml:space="preserve">a </w:t>
      </w:r>
      <w:r>
        <w:rPr>
          <w:bCs/>
          <w:iCs/>
          <w:lang w:val="en-US"/>
        </w:rPr>
        <w:t xml:space="preserve">3 criteria test. RRT started with the second criteria “market structure </w:t>
      </w:r>
      <w:r w:rsidR="002A70B1">
        <w:rPr>
          <w:bCs/>
          <w:iCs/>
          <w:lang w:val="en-US"/>
        </w:rPr>
        <w:t>which</w:t>
      </w:r>
      <w:r>
        <w:rPr>
          <w:bCs/>
          <w:iCs/>
          <w:lang w:val="en-US"/>
        </w:rPr>
        <w:t xml:space="preserve"> does not tend towards effective competition within the relevant time horizon” </w:t>
      </w:r>
      <w:r w:rsidR="002A70B1">
        <w:rPr>
          <w:bCs/>
          <w:iCs/>
          <w:lang w:val="en-US"/>
        </w:rPr>
        <w:t xml:space="preserve">and assessment of </w:t>
      </w:r>
      <w:proofErr w:type="gramStart"/>
      <w:r w:rsidR="002A70B1">
        <w:rPr>
          <w:bCs/>
          <w:iCs/>
          <w:lang w:val="en-US"/>
        </w:rPr>
        <w:t>this criteria</w:t>
      </w:r>
      <w:proofErr w:type="gramEnd"/>
      <w:r w:rsidR="002A70B1">
        <w:rPr>
          <w:bCs/>
          <w:iCs/>
          <w:lang w:val="en-US"/>
        </w:rPr>
        <w:t xml:space="preserve"> </w:t>
      </w:r>
      <w:r>
        <w:rPr>
          <w:bCs/>
          <w:iCs/>
          <w:lang w:val="en-US"/>
        </w:rPr>
        <w:t xml:space="preserve">also has incorporated </w:t>
      </w:r>
      <w:r w:rsidR="002A70B1">
        <w:rPr>
          <w:bCs/>
          <w:iCs/>
          <w:lang w:val="en-US"/>
        </w:rPr>
        <w:t xml:space="preserve">test of </w:t>
      </w:r>
      <w:r>
        <w:rPr>
          <w:bCs/>
          <w:iCs/>
          <w:lang w:val="en-US"/>
        </w:rPr>
        <w:t xml:space="preserve">first criteria “presence of high and non-transitory barriers to entry”. </w:t>
      </w:r>
    </w:p>
    <w:p w:rsidR="002629EB" w:rsidRDefault="00B80A7A" w:rsidP="009C1D4F">
      <w:pPr>
        <w:pStyle w:val="BodyText2"/>
        <w:spacing w:after="0" w:line="240" w:lineRule="auto"/>
        <w:ind w:firstLine="720"/>
        <w:jc w:val="both"/>
        <w:rPr>
          <w:bCs/>
          <w:iCs/>
          <w:lang w:val="en-US"/>
        </w:rPr>
      </w:pPr>
      <w:r>
        <w:rPr>
          <w:bCs/>
          <w:iCs/>
          <w:lang w:val="en-US"/>
        </w:rPr>
        <w:t xml:space="preserve">In RRT opinion sharp decline in </w:t>
      </w:r>
      <w:r w:rsidR="002A70B1">
        <w:rPr>
          <w:bCs/>
          <w:iCs/>
          <w:lang w:val="en-US"/>
        </w:rPr>
        <w:t xml:space="preserve">national </w:t>
      </w:r>
      <w:r>
        <w:rPr>
          <w:bCs/>
          <w:iCs/>
          <w:lang w:val="en-US"/>
        </w:rPr>
        <w:t xml:space="preserve">mobile </w:t>
      </w:r>
      <w:r w:rsidR="0081015C">
        <w:rPr>
          <w:bCs/>
          <w:iCs/>
          <w:lang w:val="en-US"/>
        </w:rPr>
        <w:t xml:space="preserve">call </w:t>
      </w:r>
      <w:r>
        <w:rPr>
          <w:bCs/>
          <w:iCs/>
          <w:lang w:val="en-US"/>
        </w:rPr>
        <w:t xml:space="preserve">prices </w:t>
      </w:r>
      <w:r w:rsidR="0081015C">
        <w:rPr>
          <w:bCs/>
          <w:iCs/>
          <w:lang w:val="en-US"/>
        </w:rPr>
        <w:t xml:space="preserve">(they are similar to retail fixed call prices), decline in fixed call prices </w:t>
      </w:r>
      <w:r w:rsidR="00330EA6">
        <w:rPr>
          <w:bCs/>
          <w:iCs/>
          <w:lang w:val="en-US"/>
        </w:rPr>
        <w:t xml:space="preserve">and </w:t>
      </w:r>
      <w:r w:rsidR="002A70B1">
        <w:rPr>
          <w:bCs/>
          <w:iCs/>
          <w:lang w:val="en-US"/>
        </w:rPr>
        <w:t xml:space="preserve">decline in </w:t>
      </w:r>
      <w:r w:rsidR="00330EA6">
        <w:rPr>
          <w:bCs/>
          <w:iCs/>
          <w:lang w:val="en-US"/>
        </w:rPr>
        <w:t xml:space="preserve">demand, </w:t>
      </w:r>
      <w:r>
        <w:rPr>
          <w:bCs/>
          <w:iCs/>
          <w:lang w:val="en-US"/>
        </w:rPr>
        <w:t xml:space="preserve">effective wholesale regulation </w:t>
      </w:r>
      <w:r w:rsidR="0081015C">
        <w:rPr>
          <w:bCs/>
          <w:iCs/>
          <w:lang w:val="en-US"/>
        </w:rPr>
        <w:t xml:space="preserve">limits Incumbent’s powers to behave independently of competitors and customers in national </w:t>
      </w:r>
      <w:r w:rsidR="00330EA6">
        <w:rPr>
          <w:bCs/>
          <w:iCs/>
          <w:lang w:val="en-US"/>
        </w:rPr>
        <w:t xml:space="preserve">(both for residential and non-residential customers) </w:t>
      </w:r>
      <w:r w:rsidR="0081015C">
        <w:rPr>
          <w:bCs/>
          <w:iCs/>
          <w:lang w:val="en-US"/>
        </w:rPr>
        <w:t>call</w:t>
      </w:r>
      <w:r w:rsidR="00330EA6">
        <w:rPr>
          <w:bCs/>
          <w:iCs/>
          <w:lang w:val="en-US"/>
        </w:rPr>
        <w:t>s</w:t>
      </w:r>
      <w:r w:rsidR="0081015C">
        <w:rPr>
          <w:bCs/>
          <w:iCs/>
          <w:lang w:val="en-US"/>
        </w:rPr>
        <w:t xml:space="preserve"> markets despite </w:t>
      </w:r>
      <w:r w:rsidR="002A70B1">
        <w:rPr>
          <w:bCs/>
          <w:iCs/>
          <w:lang w:val="en-US"/>
        </w:rPr>
        <w:t xml:space="preserve">it </w:t>
      </w:r>
      <w:r w:rsidR="0081015C">
        <w:rPr>
          <w:bCs/>
          <w:iCs/>
          <w:lang w:val="en-US"/>
        </w:rPr>
        <w:t>ha</w:t>
      </w:r>
      <w:r w:rsidR="002A70B1">
        <w:rPr>
          <w:bCs/>
          <w:iCs/>
          <w:lang w:val="en-US"/>
        </w:rPr>
        <w:t>s</w:t>
      </w:r>
      <w:r w:rsidR="0081015C">
        <w:rPr>
          <w:bCs/>
          <w:iCs/>
          <w:lang w:val="en-US"/>
        </w:rPr>
        <w:t xml:space="preserve"> large market share</w:t>
      </w:r>
      <w:r w:rsidR="002A70B1">
        <w:rPr>
          <w:bCs/>
          <w:iCs/>
          <w:lang w:val="en-US"/>
        </w:rPr>
        <w:t>s</w:t>
      </w:r>
      <w:r w:rsidR="0081015C">
        <w:rPr>
          <w:bCs/>
          <w:iCs/>
          <w:lang w:val="en-US"/>
        </w:rPr>
        <w:t xml:space="preserve">. </w:t>
      </w:r>
      <w:r w:rsidR="002629EB">
        <w:rPr>
          <w:bCs/>
          <w:iCs/>
          <w:lang w:val="en-US"/>
        </w:rPr>
        <w:t xml:space="preserve">Therefore RRT concludes that </w:t>
      </w:r>
      <w:proofErr w:type="gramStart"/>
      <w:r w:rsidR="002629EB">
        <w:rPr>
          <w:b/>
          <w:bCs/>
          <w:i/>
          <w:iCs/>
          <w:lang w:val="en-US"/>
        </w:rPr>
        <w:t>Publicly</w:t>
      </w:r>
      <w:proofErr w:type="gramEnd"/>
      <w:r w:rsidR="002629EB">
        <w:rPr>
          <w:b/>
          <w:bCs/>
          <w:i/>
          <w:iCs/>
          <w:lang w:val="en-US"/>
        </w:rPr>
        <w:t xml:space="preserve"> available local and/or national telephone services provided at fixed location for residential customers</w:t>
      </w:r>
      <w:r w:rsidR="002629EB">
        <w:rPr>
          <w:bCs/>
          <w:iCs/>
          <w:lang w:val="en-US"/>
        </w:rPr>
        <w:t xml:space="preserve"> market and </w:t>
      </w:r>
      <w:r w:rsidR="002629EB">
        <w:rPr>
          <w:b/>
          <w:bCs/>
          <w:i/>
          <w:iCs/>
          <w:lang w:val="en-US"/>
        </w:rPr>
        <w:t xml:space="preserve">Publicly available local and/or national telephone services provided at fixed location for non-residential customers </w:t>
      </w:r>
      <w:r w:rsidR="002629EB" w:rsidRPr="002629EB">
        <w:rPr>
          <w:bCs/>
          <w:iCs/>
          <w:lang w:val="en-US"/>
        </w:rPr>
        <w:t>market</w:t>
      </w:r>
      <w:r w:rsidR="002629EB">
        <w:rPr>
          <w:b/>
          <w:bCs/>
          <w:i/>
          <w:iCs/>
          <w:lang w:val="en-US"/>
        </w:rPr>
        <w:t xml:space="preserve"> </w:t>
      </w:r>
      <w:r w:rsidR="002629EB">
        <w:rPr>
          <w:bCs/>
          <w:iCs/>
          <w:lang w:val="en-US"/>
        </w:rPr>
        <w:t xml:space="preserve">tends towards effective competition and second criteria of 3 criteria test is not past. RRT has not tested other two criteria as it is enough to prove than only one </w:t>
      </w:r>
      <w:proofErr w:type="gramStart"/>
      <w:r w:rsidR="002629EB">
        <w:rPr>
          <w:bCs/>
          <w:iCs/>
          <w:lang w:val="en-US"/>
        </w:rPr>
        <w:t>criteria</w:t>
      </w:r>
      <w:proofErr w:type="gramEnd"/>
      <w:r w:rsidR="002629EB">
        <w:rPr>
          <w:bCs/>
          <w:iCs/>
          <w:lang w:val="en-US"/>
        </w:rPr>
        <w:t xml:space="preserve"> is not met. </w:t>
      </w:r>
    </w:p>
    <w:p w:rsidR="002629EB" w:rsidRDefault="00330EA6" w:rsidP="009C1D4F">
      <w:pPr>
        <w:pStyle w:val="BodyText2"/>
        <w:spacing w:after="0" w:line="240" w:lineRule="auto"/>
        <w:ind w:firstLine="720"/>
        <w:jc w:val="both"/>
        <w:rPr>
          <w:bCs/>
          <w:iCs/>
          <w:lang w:val="en-US"/>
        </w:rPr>
      </w:pPr>
      <w:r>
        <w:rPr>
          <w:bCs/>
          <w:iCs/>
          <w:lang w:val="en-US"/>
        </w:rPr>
        <w:t>Not absolute market shares, declining prices and substitutes available (</w:t>
      </w:r>
      <w:r w:rsidRPr="00330EA6">
        <w:rPr>
          <w:bCs/>
          <w:i/>
          <w:iCs/>
          <w:lang w:val="en-US"/>
        </w:rPr>
        <w:t>Skype, chart</w:t>
      </w:r>
      <w:r>
        <w:rPr>
          <w:bCs/>
          <w:iCs/>
          <w:lang w:val="en-US"/>
        </w:rPr>
        <w:t xml:space="preserve"> services) also limit Incumbent’s powers to behave independently of competitors and customers in international (both for residential and non-residential customers) calls markets. </w:t>
      </w:r>
      <w:r w:rsidR="002629EB">
        <w:rPr>
          <w:bCs/>
          <w:iCs/>
          <w:lang w:val="en-US"/>
        </w:rPr>
        <w:t xml:space="preserve">Therefore RRT concludes that </w:t>
      </w:r>
      <w:proofErr w:type="gramStart"/>
      <w:r w:rsidR="002629EB">
        <w:rPr>
          <w:b/>
          <w:bCs/>
          <w:i/>
          <w:iCs/>
          <w:lang w:val="en-US"/>
        </w:rPr>
        <w:t>Publicly</w:t>
      </w:r>
      <w:proofErr w:type="gramEnd"/>
      <w:r w:rsidR="002629EB">
        <w:rPr>
          <w:b/>
          <w:bCs/>
          <w:i/>
          <w:iCs/>
          <w:lang w:val="en-US"/>
        </w:rPr>
        <w:t xml:space="preserve"> available international telephone services provided at fixed location for residential customers</w:t>
      </w:r>
      <w:r w:rsidR="002629EB">
        <w:rPr>
          <w:bCs/>
          <w:iCs/>
          <w:lang w:val="en-US"/>
        </w:rPr>
        <w:t xml:space="preserve"> market and </w:t>
      </w:r>
      <w:r w:rsidR="002629EB">
        <w:rPr>
          <w:b/>
          <w:bCs/>
          <w:i/>
          <w:iCs/>
          <w:lang w:val="en-US"/>
        </w:rPr>
        <w:t>Publicly available international telephone services provided at fixed location for non-residential customers</w:t>
      </w:r>
      <w:r w:rsidR="002629EB">
        <w:rPr>
          <w:bCs/>
          <w:iCs/>
          <w:lang w:val="en-US"/>
        </w:rPr>
        <w:t xml:space="preserve"> market tend towards effective competition and second criteria of 3 criteria test is not past. RRT has not tested other two criteria as it is enough to prove than only one </w:t>
      </w:r>
      <w:proofErr w:type="gramStart"/>
      <w:r w:rsidR="002629EB">
        <w:rPr>
          <w:bCs/>
          <w:iCs/>
          <w:lang w:val="en-US"/>
        </w:rPr>
        <w:t>criteria</w:t>
      </w:r>
      <w:proofErr w:type="gramEnd"/>
      <w:r w:rsidR="002629EB">
        <w:rPr>
          <w:bCs/>
          <w:iCs/>
          <w:lang w:val="en-US"/>
        </w:rPr>
        <w:t xml:space="preserve"> is not met.</w:t>
      </w:r>
    </w:p>
    <w:p w:rsidR="002629EB" w:rsidRPr="002629EB" w:rsidRDefault="002629EB" w:rsidP="009C1D4F">
      <w:pPr>
        <w:pStyle w:val="BodyText2"/>
        <w:spacing w:after="0" w:line="240" w:lineRule="auto"/>
        <w:ind w:firstLine="720"/>
        <w:jc w:val="both"/>
        <w:rPr>
          <w:bCs/>
          <w:iCs/>
          <w:lang w:val="en-US"/>
        </w:rPr>
      </w:pPr>
      <w:r w:rsidRPr="002629EB">
        <w:rPr>
          <w:bCs/>
          <w:iCs/>
          <w:lang w:val="en-US"/>
        </w:rPr>
        <w:t xml:space="preserve">RRT proposes to withdraw current regulation on Publicly available local and/or national telephone services provided at fixed location for residential customers market, Publicly available local and/or national telephone services provided at fixed location for non-residential customers </w:t>
      </w:r>
      <w:r w:rsidRPr="002629EB">
        <w:rPr>
          <w:bCs/>
          <w:iCs/>
          <w:lang w:val="en-US"/>
        </w:rPr>
        <w:lastRenderedPageBreak/>
        <w:t>market, Publicly available international telephone services provided at fixed location for residential customers market, Publicly available international telephone services provided at fixed location for non-residential customers market. In order</w:t>
      </w:r>
      <w:r>
        <w:rPr>
          <w:bCs/>
          <w:iCs/>
          <w:lang w:val="en-US"/>
        </w:rPr>
        <w:t xml:space="preserve"> to have a smooth withdrawal </w:t>
      </w:r>
      <w:r w:rsidR="002768C8">
        <w:rPr>
          <w:bCs/>
          <w:iCs/>
          <w:lang w:val="en-US"/>
        </w:rPr>
        <w:t xml:space="preserve">of remedies </w:t>
      </w:r>
      <w:r>
        <w:rPr>
          <w:bCs/>
          <w:iCs/>
          <w:lang w:val="en-US"/>
        </w:rPr>
        <w:t xml:space="preserve">and to allow ALTNETS to </w:t>
      </w:r>
      <w:r w:rsidR="002768C8">
        <w:rPr>
          <w:bCs/>
          <w:iCs/>
          <w:lang w:val="en-US"/>
        </w:rPr>
        <w:t xml:space="preserve">adapt to </w:t>
      </w:r>
      <w:r>
        <w:rPr>
          <w:bCs/>
          <w:iCs/>
          <w:lang w:val="en-US"/>
        </w:rPr>
        <w:t xml:space="preserve">new </w:t>
      </w:r>
      <w:r w:rsidR="002768C8">
        <w:rPr>
          <w:bCs/>
          <w:iCs/>
          <w:lang w:val="en-US"/>
        </w:rPr>
        <w:t>rules</w:t>
      </w:r>
      <w:r w:rsidRPr="002629EB">
        <w:rPr>
          <w:bCs/>
          <w:iCs/>
          <w:lang w:val="en-US"/>
        </w:rPr>
        <w:t xml:space="preserve"> </w:t>
      </w:r>
      <w:r w:rsidR="002768C8">
        <w:rPr>
          <w:bCs/>
          <w:iCs/>
          <w:lang w:val="en-US"/>
        </w:rPr>
        <w:t xml:space="preserve">RRT proposes withdrawing regulation from 1 January 2014. </w:t>
      </w:r>
    </w:p>
    <w:p w:rsidR="00B80A7A" w:rsidRDefault="00B80A7A" w:rsidP="0054363A">
      <w:pPr>
        <w:pStyle w:val="Heading2"/>
        <w:jc w:val="center"/>
        <w:rPr>
          <w:szCs w:val="24"/>
          <w:lang w:val="en-US"/>
        </w:rPr>
      </w:pPr>
    </w:p>
    <w:p w:rsidR="002758FE" w:rsidRDefault="003A70A2" w:rsidP="0054363A">
      <w:pPr>
        <w:pStyle w:val="Heading2"/>
        <w:jc w:val="center"/>
        <w:rPr>
          <w:szCs w:val="24"/>
          <w:lang w:val="en-US"/>
        </w:rPr>
      </w:pPr>
      <w:r w:rsidRPr="008D1156">
        <w:rPr>
          <w:szCs w:val="24"/>
          <w:lang w:val="en-US"/>
        </w:rPr>
        <w:t xml:space="preserve">Section 2 </w:t>
      </w:r>
    </w:p>
    <w:p w:rsidR="003A70A2" w:rsidRPr="008D1156" w:rsidRDefault="003A70A2" w:rsidP="0054363A">
      <w:pPr>
        <w:pStyle w:val="Heading2"/>
        <w:jc w:val="center"/>
        <w:rPr>
          <w:szCs w:val="24"/>
          <w:lang w:val="en-US"/>
        </w:rPr>
      </w:pPr>
      <w:r w:rsidRPr="008D1156">
        <w:rPr>
          <w:szCs w:val="24"/>
          <w:lang w:val="en-US"/>
        </w:rPr>
        <w:t>Designation of undertakings with significant market power</w:t>
      </w:r>
    </w:p>
    <w:p w:rsidR="003A70A2" w:rsidRPr="008D1156" w:rsidRDefault="003A70A2" w:rsidP="00FF7394">
      <w:pPr>
        <w:rPr>
          <w:lang w:val="en-US"/>
        </w:rPr>
      </w:pPr>
    </w:p>
    <w:p w:rsidR="003A70A2" w:rsidRPr="008D1156" w:rsidRDefault="003A70A2" w:rsidP="0054363A">
      <w:pPr>
        <w:pStyle w:val="Notifqu"/>
        <w:ind w:left="0" w:firstLine="0"/>
        <w:jc w:val="both"/>
        <w:rPr>
          <w:szCs w:val="24"/>
          <w:u w:val="single"/>
          <w:lang w:val="en-US"/>
        </w:rPr>
      </w:pPr>
      <w:r w:rsidRPr="008D1156">
        <w:rPr>
          <w:szCs w:val="24"/>
          <w:lang w:val="en-US"/>
        </w:rPr>
        <w:t xml:space="preserve">2.1 The name of the undertakings designated as having, individually or jointly, significant market power. </w:t>
      </w:r>
    </w:p>
    <w:p w:rsidR="000D78F2" w:rsidRPr="00FF7394" w:rsidRDefault="00B80A7A" w:rsidP="0054363A">
      <w:pPr>
        <w:pStyle w:val="Notifbody"/>
        <w:rPr>
          <w:szCs w:val="24"/>
          <w:lang w:val="en-US"/>
        </w:rPr>
      </w:pPr>
      <w:r>
        <w:t xml:space="preserve">No. RRT proposes </w:t>
      </w:r>
      <w:r w:rsidR="002B6466">
        <w:t>t</w:t>
      </w:r>
      <w:r w:rsidR="002768C8">
        <w:t xml:space="preserve">o </w:t>
      </w:r>
      <w:r w:rsidR="002768C8">
        <w:rPr>
          <w:bCs/>
          <w:iCs/>
          <w:lang w:val="en-US"/>
        </w:rPr>
        <w:t xml:space="preserve">withdraw remedies imposed on </w:t>
      </w:r>
      <w:r w:rsidR="000D78F2" w:rsidRPr="000C379C">
        <w:t>TEO LT, AB</w:t>
      </w:r>
      <w:r w:rsidR="00FF7394" w:rsidRPr="00FF7394">
        <w:rPr>
          <w:bCs/>
          <w:iCs/>
        </w:rPr>
        <w:t>.</w:t>
      </w:r>
    </w:p>
    <w:p w:rsidR="00560744" w:rsidRPr="00560744" w:rsidRDefault="00560744" w:rsidP="00FF7394">
      <w:pPr>
        <w:rPr>
          <w:lang w:val="en-US"/>
        </w:rPr>
      </w:pPr>
    </w:p>
    <w:p w:rsidR="007B5072" w:rsidRDefault="00560744" w:rsidP="0054363A">
      <w:pPr>
        <w:pStyle w:val="Notifqu"/>
        <w:ind w:left="0" w:hanging="10"/>
        <w:jc w:val="both"/>
        <w:rPr>
          <w:szCs w:val="24"/>
          <w:lang w:val="en-US"/>
        </w:rPr>
      </w:pPr>
      <w:r w:rsidRPr="008D1156">
        <w:rPr>
          <w:szCs w:val="24"/>
          <w:lang w:val="en-US"/>
        </w:rPr>
        <w:t>Where applicable, the name of the undertakings considered no longer to have significant market power.</w:t>
      </w:r>
    </w:p>
    <w:p w:rsidR="001A53BC" w:rsidRDefault="002768C8" w:rsidP="00FF7394">
      <w:pPr>
        <w:rPr>
          <w:lang w:val="en-US"/>
        </w:rPr>
      </w:pPr>
      <w:r>
        <w:rPr>
          <w:lang w:val="en-US"/>
        </w:rPr>
        <w:t xml:space="preserve">TEO LT, AB from 1 January 2014. </w:t>
      </w:r>
    </w:p>
    <w:p w:rsidR="001A53BC" w:rsidRPr="00560744" w:rsidRDefault="001A53BC" w:rsidP="00FF7394">
      <w:pPr>
        <w:rPr>
          <w:lang w:val="en-US"/>
        </w:rPr>
      </w:pPr>
    </w:p>
    <w:p w:rsidR="003A70A2" w:rsidRPr="008D1156" w:rsidRDefault="003A70A2" w:rsidP="0054363A">
      <w:pPr>
        <w:pStyle w:val="Notifqu"/>
        <w:ind w:left="0" w:hanging="10"/>
        <w:jc w:val="both"/>
        <w:rPr>
          <w:szCs w:val="24"/>
          <w:lang w:val="en-US"/>
        </w:rPr>
      </w:pPr>
      <w:r w:rsidRPr="008D1156">
        <w:rPr>
          <w:szCs w:val="24"/>
          <w:lang w:val="en-US"/>
        </w:rPr>
        <w:t xml:space="preserve">2.2 The criteria used to designate an undertaking as having significant market power, individually or jointly, or not. </w:t>
      </w:r>
    </w:p>
    <w:p w:rsidR="00673D1A" w:rsidRPr="00471E13" w:rsidRDefault="002768C8" w:rsidP="002768C8">
      <w:r>
        <w:t>Not applicable</w:t>
      </w:r>
      <w:r w:rsidR="002B6466">
        <w:t xml:space="preserve">. RRT proposes to </w:t>
      </w:r>
      <w:r w:rsidR="002B6466">
        <w:rPr>
          <w:bCs/>
          <w:iCs/>
          <w:lang w:val="en-US"/>
        </w:rPr>
        <w:t>withdraw remedies imposed.</w:t>
      </w:r>
    </w:p>
    <w:p w:rsidR="003A70A2" w:rsidRPr="00471E13" w:rsidRDefault="003A70A2" w:rsidP="00FF7394">
      <w:pPr>
        <w:rPr>
          <w:lang w:val="lt-LT"/>
        </w:rPr>
      </w:pPr>
    </w:p>
    <w:p w:rsidR="003A70A2" w:rsidRPr="008D1156" w:rsidRDefault="003A70A2" w:rsidP="0054363A">
      <w:pPr>
        <w:pStyle w:val="Notifqu"/>
        <w:ind w:left="0" w:firstLine="0"/>
        <w:rPr>
          <w:szCs w:val="24"/>
          <w:lang w:val="en-US"/>
        </w:rPr>
      </w:pPr>
      <w:r w:rsidRPr="008D1156">
        <w:rPr>
          <w:szCs w:val="24"/>
          <w:lang w:val="en-US"/>
        </w:rPr>
        <w:t xml:space="preserve">2.3 The name of the </w:t>
      </w:r>
      <w:r w:rsidR="00560744">
        <w:rPr>
          <w:szCs w:val="24"/>
          <w:lang w:val="en-US"/>
        </w:rPr>
        <w:t>main undertakings (competitors)</w:t>
      </w:r>
      <w:r w:rsidRPr="008D1156">
        <w:rPr>
          <w:szCs w:val="24"/>
          <w:lang w:val="en-US"/>
        </w:rPr>
        <w:t xml:space="preserve"> active in the relevant market.</w:t>
      </w:r>
    </w:p>
    <w:p w:rsidR="002768C8" w:rsidRPr="00F223BA" w:rsidRDefault="002768C8" w:rsidP="002768C8">
      <w:pPr>
        <w:pStyle w:val="BodyText3"/>
        <w:numPr>
          <w:ilvl w:val="0"/>
          <w:numId w:val="21"/>
        </w:numPr>
        <w:jc w:val="both"/>
        <w:rPr>
          <w:b w:val="0"/>
          <w:bCs w:val="0"/>
          <w:i w:val="0"/>
          <w:iCs w:val="0"/>
          <w:sz w:val="24"/>
          <w:lang w:val="en-US"/>
        </w:rPr>
      </w:pPr>
      <w:r w:rsidRPr="00F223BA">
        <w:rPr>
          <w:b w:val="0"/>
          <w:bCs w:val="0"/>
          <w:i w:val="0"/>
          <w:iCs w:val="0"/>
          <w:sz w:val="24"/>
          <w:lang w:val="en-US"/>
        </w:rPr>
        <w:t xml:space="preserve">Publicly available local and/or national telephone services provided at fixed location for residential customers (Market 3 of the Commission Recommendation 2003/11/EC) – </w:t>
      </w:r>
      <w:proofErr w:type="spellStart"/>
      <w:r w:rsidRPr="00F223BA">
        <w:rPr>
          <w:b w:val="0"/>
          <w:bCs w:val="0"/>
          <w:i w:val="0"/>
          <w:iCs w:val="0"/>
          <w:sz w:val="24"/>
          <w:lang w:val="en-US"/>
        </w:rPr>
        <w:t>Nacionalinis</w:t>
      </w:r>
      <w:proofErr w:type="spellEnd"/>
      <w:r w:rsidRPr="00F223BA">
        <w:rPr>
          <w:b w:val="0"/>
          <w:bCs w:val="0"/>
          <w:i w:val="0"/>
          <w:iCs w:val="0"/>
          <w:sz w:val="24"/>
          <w:lang w:val="en-US"/>
        </w:rPr>
        <w:t xml:space="preserve"> </w:t>
      </w:r>
      <w:proofErr w:type="spellStart"/>
      <w:r w:rsidRPr="00F223BA">
        <w:rPr>
          <w:b w:val="0"/>
          <w:bCs w:val="0"/>
          <w:i w:val="0"/>
          <w:iCs w:val="0"/>
          <w:sz w:val="24"/>
          <w:lang w:val="en-US"/>
        </w:rPr>
        <w:t>telekomunikacij</w:t>
      </w:r>
      <w:proofErr w:type="spellEnd"/>
      <w:r w:rsidRPr="00F223BA">
        <w:rPr>
          <w:b w:val="0"/>
          <w:bCs w:val="0"/>
          <w:i w:val="0"/>
          <w:iCs w:val="0"/>
          <w:sz w:val="24"/>
          <w:lang w:val="lt-LT"/>
        </w:rPr>
        <w:t>ų tinklas</w:t>
      </w:r>
      <w:r w:rsidR="00F223BA" w:rsidRPr="00F223BA">
        <w:rPr>
          <w:b w:val="0"/>
          <w:bCs w:val="0"/>
          <w:i w:val="0"/>
          <w:iCs w:val="0"/>
          <w:sz w:val="24"/>
          <w:lang w:val="lt-LT"/>
        </w:rPr>
        <w:t xml:space="preserve">, UAB – 0,32 </w:t>
      </w:r>
      <w:r w:rsidR="00F223BA" w:rsidRPr="00F223BA">
        <w:rPr>
          <w:b w:val="0"/>
          <w:bCs w:val="0"/>
          <w:i w:val="0"/>
          <w:iCs w:val="0"/>
          <w:sz w:val="24"/>
          <w:lang w:val="en-US"/>
        </w:rPr>
        <w:t>% in ter</w:t>
      </w:r>
      <w:bookmarkStart w:id="1" w:name="_GoBack"/>
      <w:bookmarkEnd w:id="1"/>
      <w:r w:rsidR="00F223BA" w:rsidRPr="00F223BA">
        <w:rPr>
          <w:b w:val="0"/>
          <w:bCs w:val="0"/>
          <w:i w:val="0"/>
          <w:iCs w:val="0"/>
          <w:sz w:val="24"/>
          <w:lang w:val="en-US"/>
        </w:rPr>
        <w:t xml:space="preserve">ms of call duration; </w:t>
      </w:r>
      <w:proofErr w:type="spellStart"/>
      <w:r w:rsidR="00F223BA" w:rsidRPr="00F223BA">
        <w:rPr>
          <w:b w:val="0"/>
          <w:bCs w:val="0"/>
          <w:i w:val="0"/>
          <w:iCs w:val="0"/>
          <w:sz w:val="24"/>
          <w:lang w:val="en-US"/>
        </w:rPr>
        <w:t>Cgates</w:t>
      </w:r>
      <w:proofErr w:type="spellEnd"/>
      <w:r w:rsidR="00F223BA" w:rsidRPr="00F223BA">
        <w:rPr>
          <w:b w:val="0"/>
          <w:bCs w:val="0"/>
          <w:i w:val="0"/>
          <w:iCs w:val="0"/>
          <w:sz w:val="24"/>
          <w:lang w:val="en-US"/>
        </w:rPr>
        <w:t>, UAB – 0,18 % in terms of revenues</w:t>
      </w:r>
      <w:r w:rsidRPr="00F223BA">
        <w:rPr>
          <w:b w:val="0"/>
          <w:bCs w:val="0"/>
          <w:i w:val="0"/>
          <w:iCs w:val="0"/>
          <w:sz w:val="24"/>
          <w:lang w:val="en-US"/>
        </w:rPr>
        <w:t>;</w:t>
      </w:r>
    </w:p>
    <w:p w:rsidR="00F223BA" w:rsidRPr="00F223BA" w:rsidRDefault="002768C8" w:rsidP="002768C8">
      <w:pPr>
        <w:pStyle w:val="BodyText3"/>
        <w:numPr>
          <w:ilvl w:val="0"/>
          <w:numId w:val="21"/>
        </w:numPr>
        <w:jc w:val="both"/>
        <w:rPr>
          <w:b w:val="0"/>
          <w:bCs w:val="0"/>
          <w:i w:val="0"/>
          <w:iCs w:val="0"/>
          <w:sz w:val="24"/>
          <w:lang w:val="en-US"/>
        </w:rPr>
      </w:pPr>
      <w:r w:rsidRPr="00F223BA">
        <w:rPr>
          <w:b w:val="0"/>
          <w:bCs w:val="0"/>
          <w:i w:val="0"/>
          <w:iCs w:val="0"/>
          <w:sz w:val="24"/>
          <w:lang w:val="en-US"/>
        </w:rPr>
        <w:t xml:space="preserve">Publicly available international telephone services provided at fixed location for residential customers (Market 4 of the Commission Recommendation 2003/11/EC) </w:t>
      </w:r>
      <w:r w:rsidR="00F223BA" w:rsidRPr="00F223BA">
        <w:rPr>
          <w:b w:val="0"/>
          <w:bCs w:val="0"/>
          <w:i w:val="0"/>
          <w:iCs w:val="0"/>
          <w:sz w:val="24"/>
          <w:lang w:val="en-US"/>
        </w:rPr>
        <w:t>–</w:t>
      </w:r>
      <w:r w:rsidRPr="00F223BA">
        <w:rPr>
          <w:b w:val="0"/>
          <w:bCs w:val="0"/>
          <w:i w:val="0"/>
          <w:iCs w:val="0"/>
          <w:sz w:val="24"/>
          <w:lang w:val="en-US"/>
        </w:rPr>
        <w:t xml:space="preserve"> </w:t>
      </w:r>
      <w:proofErr w:type="spellStart"/>
      <w:r w:rsidR="00F223BA" w:rsidRPr="00F223BA">
        <w:rPr>
          <w:b w:val="0"/>
          <w:bCs w:val="0"/>
          <w:i w:val="0"/>
          <w:iCs w:val="0"/>
          <w:sz w:val="24"/>
          <w:lang w:val="en-US"/>
        </w:rPr>
        <w:t>Nacionalinis</w:t>
      </w:r>
      <w:proofErr w:type="spellEnd"/>
      <w:r w:rsidR="00F223BA" w:rsidRPr="00F223BA">
        <w:rPr>
          <w:b w:val="0"/>
          <w:bCs w:val="0"/>
          <w:i w:val="0"/>
          <w:iCs w:val="0"/>
          <w:sz w:val="24"/>
          <w:lang w:val="en-US"/>
        </w:rPr>
        <w:t xml:space="preserve"> </w:t>
      </w:r>
      <w:proofErr w:type="spellStart"/>
      <w:r w:rsidR="00F223BA" w:rsidRPr="00F223BA">
        <w:rPr>
          <w:b w:val="0"/>
          <w:bCs w:val="0"/>
          <w:i w:val="0"/>
          <w:iCs w:val="0"/>
          <w:sz w:val="24"/>
          <w:lang w:val="en-US"/>
        </w:rPr>
        <w:t>telekomunikacij</w:t>
      </w:r>
      <w:proofErr w:type="spellEnd"/>
      <w:r w:rsidR="00F223BA" w:rsidRPr="00F223BA">
        <w:rPr>
          <w:b w:val="0"/>
          <w:bCs w:val="0"/>
          <w:i w:val="0"/>
          <w:iCs w:val="0"/>
          <w:sz w:val="24"/>
          <w:lang w:val="lt-LT"/>
        </w:rPr>
        <w:t xml:space="preserve">ų tinklas, UAB – 2,69 </w:t>
      </w:r>
      <w:r w:rsidR="00F223BA" w:rsidRPr="00F223BA">
        <w:rPr>
          <w:b w:val="0"/>
          <w:bCs w:val="0"/>
          <w:i w:val="0"/>
          <w:iCs w:val="0"/>
          <w:sz w:val="24"/>
          <w:lang w:val="en-US"/>
        </w:rPr>
        <w:t xml:space="preserve">% in terms of call duration; </w:t>
      </w:r>
      <w:proofErr w:type="spellStart"/>
      <w:r w:rsidR="00F223BA" w:rsidRPr="00F223BA">
        <w:rPr>
          <w:b w:val="0"/>
          <w:bCs w:val="0"/>
          <w:i w:val="0"/>
          <w:iCs w:val="0"/>
          <w:sz w:val="24"/>
          <w:lang w:val="en-US"/>
        </w:rPr>
        <w:t>Nacionalinis</w:t>
      </w:r>
      <w:proofErr w:type="spellEnd"/>
      <w:r w:rsidR="00F223BA" w:rsidRPr="00F223BA">
        <w:rPr>
          <w:b w:val="0"/>
          <w:bCs w:val="0"/>
          <w:i w:val="0"/>
          <w:iCs w:val="0"/>
          <w:sz w:val="24"/>
          <w:lang w:val="en-US"/>
        </w:rPr>
        <w:t xml:space="preserve"> </w:t>
      </w:r>
      <w:proofErr w:type="spellStart"/>
      <w:r w:rsidR="00F223BA" w:rsidRPr="00F223BA">
        <w:rPr>
          <w:b w:val="0"/>
          <w:bCs w:val="0"/>
          <w:i w:val="0"/>
          <w:iCs w:val="0"/>
          <w:sz w:val="24"/>
          <w:lang w:val="en-US"/>
        </w:rPr>
        <w:t>telekomunikacij</w:t>
      </w:r>
      <w:proofErr w:type="spellEnd"/>
      <w:r w:rsidR="00F223BA" w:rsidRPr="00F223BA">
        <w:rPr>
          <w:b w:val="0"/>
          <w:bCs w:val="0"/>
          <w:i w:val="0"/>
          <w:iCs w:val="0"/>
          <w:sz w:val="24"/>
          <w:lang w:val="lt-LT"/>
        </w:rPr>
        <w:t>ų tinklas, UAB</w:t>
      </w:r>
      <w:r w:rsidR="00F223BA" w:rsidRPr="00F223BA">
        <w:rPr>
          <w:b w:val="0"/>
          <w:bCs w:val="0"/>
          <w:i w:val="0"/>
          <w:iCs w:val="0"/>
          <w:sz w:val="24"/>
          <w:lang w:val="en-US"/>
        </w:rPr>
        <w:t xml:space="preserve"> – 0,34 % in terms of revenues;</w:t>
      </w:r>
    </w:p>
    <w:p w:rsidR="002768C8" w:rsidRPr="00F223BA" w:rsidRDefault="002768C8" w:rsidP="002768C8">
      <w:pPr>
        <w:pStyle w:val="BodyText3"/>
        <w:numPr>
          <w:ilvl w:val="0"/>
          <w:numId w:val="21"/>
        </w:numPr>
        <w:jc w:val="both"/>
        <w:rPr>
          <w:b w:val="0"/>
          <w:bCs w:val="0"/>
          <w:i w:val="0"/>
          <w:iCs w:val="0"/>
          <w:sz w:val="24"/>
          <w:lang w:val="en-US"/>
        </w:rPr>
      </w:pPr>
      <w:r w:rsidRPr="00F223BA">
        <w:rPr>
          <w:b w:val="0"/>
          <w:bCs w:val="0"/>
          <w:i w:val="0"/>
          <w:iCs w:val="0"/>
          <w:sz w:val="24"/>
          <w:lang w:val="en-US"/>
        </w:rPr>
        <w:t xml:space="preserve">Publicly available local and/or national telephone services provided at fixed location for non-residential customers (Market 5 of the Commission Recommendation 2003/11/EC) </w:t>
      </w:r>
      <w:r w:rsidR="00F223BA" w:rsidRPr="00F223BA">
        <w:rPr>
          <w:b w:val="0"/>
          <w:bCs w:val="0"/>
          <w:i w:val="0"/>
          <w:iCs w:val="0"/>
          <w:sz w:val="24"/>
          <w:lang w:val="en-US"/>
        </w:rPr>
        <w:t>–</w:t>
      </w:r>
      <w:r w:rsidRPr="00F223BA">
        <w:rPr>
          <w:b w:val="0"/>
          <w:bCs w:val="0"/>
          <w:i w:val="0"/>
          <w:iCs w:val="0"/>
          <w:sz w:val="24"/>
          <w:lang w:val="en-US"/>
        </w:rPr>
        <w:t xml:space="preserve"> </w:t>
      </w:r>
      <w:r w:rsidR="00F223BA" w:rsidRPr="00F223BA">
        <w:rPr>
          <w:b w:val="0"/>
          <w:bCs w:val="0"/>
          <w:i w:val="0"/>
          <w:iCs w:val="0"/>
          <w:sz w:val="24"/>
          <w:lang w:val="en-US"/>
        </w:rPr>
        <w:t xml:space="preserve">CSC TELECOM, UAB </w:t>
      </w:r>
      <w:r w:rsidR="00F223BA" w:rsidRPr="00F223BA">
        <w:rPr>
          <w:b w:val="0"/>
          <w:bCs w:val="0"/>
          <w:i w:val="0"/>
          <w:iCs w:val="0"/>
          <w:sz w:val="24"/>
          <w:lang w:val="lt-LT"/>
        </w:rPr>
        <w:t xml:space="preserve">– 3,97 </w:t>
      </w:r>
      <w:r w:rsidR="00F223BA" w:rsidRPr="00F223BA">
        <w:rPr>
          <w:b w:val="0"/>
          <w:bCs w:val="0"/>
          <w:i w:val="0"/>
          <w:iCs w:val="0"/>
          <w:sz w:val="24"/>
          <w:lang w:val="en-US"/>
        </w:rPr>
        <w:t>% in terms of call duration; CSC TELECOM, UAB – 3,54 % in terms of revenues</w:t>
      </w:r>
      <w:r w:rsidRPr="00F223BA">
        <w:rPr>
          <w:b w:val="0"/>
          <w:bCs w:val="0"/>
          <w:i w:val="0"/>
          <w:iCs w:val="0"/>
          <w:sz w:val="24"/>
          <w:lang w:val="en-US"/>
        </w:rPr>
        <w:t>;</w:t>
      </w:r>
    </w:p>
    <w:p w:rsidR="002768C8" w:rsidRPr="00F223BA" w:rsidRDefault="002768C8" w:rsidP="002768C8">
      <w:pPr>
        <w:pStyle w:val="BodyText3"/>
        <w:numPr>
          <w:ilvl w:val="0"/>
          <w:numId w:val="21"/>
        </w:numPr>
        <w:jc w:val="both"/>
        <w:rPr>
          <w:b w:val="0"/>
          <w:bCs w:val="0"/>
          <w:i w:val="0"/>
          <w:iCs w:val="0"/>
          <w:sz w:val="24"/>
          <w:lang w:val="en-US"/>
        </w:rPr>
      </w:pPr>
      <w:r w:rsidRPr="00F223BA">
        <w:rPr>
          <w:b w:val="0"/>
          <w:i w:val="0"/>
          <w:sz w:val="24"/>
          <w:lang w:val="en-US"/>
        </w:rPr>
        <w:t xml:space="preserve">Publicly available international telephone services provided at fixed location for non-residential customers (Market 6 of the Commission Recommendation 2003/11/EC) </w:t>
      </w:r>
      <w:r w:rsidR="00F223BA" w:rsidRPr="00F223BA">
        <w:rPr>
          <w:b w:val="0"/>
          <w:i w:val="0"/>
          <w:sz w:val="24"/>
          <w:lang w:val="en-US"/>
        </w:rPr>
        <w:t>–</w:t>
      </w:r>
      <w:r w:rsidRPr="00F223BA">
        <w:rPr>
          <w:b w:val="0"/>
          <w:i w:val="0"/>
          <w:sz w:val="24"/>
          <w:lang w:val="en-US"/>
        </w:rPr>
        <w:t xml:space="preserve"> </w:t>
      </w:r>
      <w:r w:rsidR="00F223BA" w:rsidRPr="00F223BA">
        <w:rPr>
          <w:b w:val="0"/>
          <w:i w:val="0"/>
          <w:sz w:val="24"/>
          <w:lang w:val="en-US"/>
        </w:rPr>
        <w:t xml:space="preserve">Telco Consulting Group, UAB – </w:t>
      </w:r>
      <w:r w:rsidR="00F223BA" w:rsidRPr="00F223BA">
        <w:rPr>
          <w:b w:val="0"/>
          <w:bCs w:val="0"/>
          <w:i w:val="0"/>
          <w:iCs w:val="0"/>
          <w:sz w:val="24"/>
          <w:lang w:val="lt-LT"/>
        </w:rPr>
        <w:t xml:space="preserve">23,45 </w:t>
      </w:r>
      <w:r w:rsidR="00F223BA" w:rsidRPr="00F223BA">
        <w:rPr>
          <w:b w:val="0"/>
          <w:bCs w:val="0"/>
          <w:i w:val="0"/>
          <w:iCs w:val="0"/>
          <w:sz w:val="24"/>
          <w:lang w:val="en-US"/>
        </w:rPr>
        <w:t xml:space="preserve">% in terms of call duration; </w:t>
      </w:r>
      <w:r w:rsidR="00F223BA" w:rsidRPr="00F223BA">
        <w:rPr>
          <w:b w:val="0"/>
          <w:i w:val="0"/>
          <w:sz w:val="24"/>
          <w:lang w:val="en-US"/>
        </w:rPr>
        <w:t xml:space="preserve">Telco Consulting Group, UAB – 10,57 </w:t>
      </w:r>
      <w:r w:rsidR="00F223BA" w:rsidRPr="00F223BA">
        <w:rPr>
          <w:b w:val="0"/>
          <w:bCs w:val="0"/>
          <w:i w:val="0"/>
          <w:iCs w:val="0"/>
          <w:sz w:val="24"/>
          <w:lang w:val="en-US"/>
        </w:rPr>
        <w:t>% in terms of revenues.</w:t>
      </w:r>
    </w:p>
    <w:p w:rsidR="002768C8" w:rsidRDefault="002768C8" w:rsidP="0054363A">
      <w:pPr>
        <w:pStyle w:val="Notifbody"/>
        <w:rPr>
          <w:szCs w:val="24"/>
          <w:lang w:val="en-US"/>
        </w:rPr>
      </w:pPr>
    </w:p>
    <w:p w:rsidR="003A70A2" w:rsidRPr="008D1156" w:rsidRDefault="003A70A2" w:rsidP="0054363A">
      <w:pPr>
        <w:pStyle w:val="Notifqu"/>
        <w:ind w:left="0" w:firstLine="0"/>
        <w:jc w:val="both"/>
        <w:rPr>
          <w:szCs w:val="24"/>
          <w:lang w:val="en-US"/>
        </w:rPr>
      </w:pPr>
      <w:r w:rsidRPr="008D1156">
        <w:rPr>
          <w:szCs w:val="24"/>
          <w:lang w:val="en-US"/>
        </w:rPr>
        <w:t>2.4 The market shares of the undertakings mentioned above and the basis for ca</w:t>
      </w:r>
      <w:r w:rsidR="002758FE">
        <w:rPr>
          <w:szCs w:val="24"/>
          <w:lang w:val="en-US"/>
        </w:rPr>
        <w:t>lculation of market share (e.g.</w:t>
      </w:r>
      <w:r w:rsidRPr="008D1156">
        <w:rPr>
          <w:szCs w:val="24"/>
          <w:lang w:val="en-US"/>
        </w:rPr>
        <w:t xml:space="preserve"> turnover, number of subscribers).</w:t>
      </w:r>
    </w:p>
    <w:p w:rsidR="00F02FE9" w:rsidRDefault="00F02FE9" w:rsidP="00F02FE9">
      <w:pPr>
        <w:pStyle w:val="BodyText3"/>
        <w:numPr>
          <w:ilvl w:val="0"/>
          <w:numId w:val="22"/>
        </w:numPr>
        <w:jc w:val="both"/>
        <w:rPr>
          <w:b w:val="0"/>
          <w:bCs w:val="0"/>
          <w:i w:val="0"/>
          <w:iCs w:val="0"/>
          <w:sz w:val="24"/>
          <w:lang w:val="en-US"/>
        </w:rPr>
      </w:pPr>
      <w:r>
        <w:rPr>
          <w:b w:val="0"/>
          <w:bCs w:val="0"/>
          <w:i w:val="0"/>
          <w:iCs w:val="0"/>
          <w:sz w:val="24"/>
          <w:lang w:val="en-US"/>
        </w:rPr>
        <w:t xml:space="preserve">Publicly available local and/or national telephone services provided at fixed location for residential customers (Market 3 of the Commission Recommendation 2003/11/EC) – </w:t>
      </w:r>
      <w:r>
        <w:rPr>
          <w:b w:val="0"/>
          <w:bCs w:val="0"/>
          <w:i w:val="0"/>
          <w:iCs w:val="0"/>
          <w:sz w:val="24"/>
          <w:lang w:val="en-US"/>
        </w:rPr>
        <w:lastRenderedPageBreak/>
        <w:t>98,03 % in terms of revenues (end of 2011), 99,1 % in terms of call duration (end of 2011), 97,2 % in terms of number of customers;</w:t>
      </w:r>
    </w:p>
    <w:p w:rsidR="00F02FE9" w:rsidRDefault="00F02FE9" w:rsidP="00F02FE9">
      <w:pPr>
        <w:pStyle w:val="BodyText3"/>
        <w:numPr>
          <w:ilvl w:val="0"/>
          <w:numId w:val="22"/>
        </w:numPr>
        <w:jc w:val="both"/>
        <w:rPr>
          <w:b w:val="0"/>
          <w:bCs w:val="0"/>
          <w:i w:val="0"/>
          <w:iCs w:val="0"/>
          <w:sz w:val="24"/>
          <w:lang w:val="en-US"/>
        </w:rPr>
      </w:pPr>
      <w:r>
        <w:rPr>
          <w:b w:val="0"/>
          <w:bCs w:val="0"/>
          <w:i w:val="0"/>
          <w:iCs w:val="0"/>
          <w:sz w:val="24"/>
          <w:lang w:val="en-US"/>
        </w:rPr>
        <w:t xml:space="preserve">Publicly available international telephone services provided at fixed location for residential customers (Market 4 of the Commission Recommendation 2003/11/EC) – </w:t>
      </w:r>
      <w:r w:rsidR="002B6466">
        <w:rPr>
          <w:b w:val="0"/>
          <w:bCs w:val="0"/>
          <w:i w:val="0"/>
          <w:iCs w:val="0"/>
          <w:sz w:val="24"/>
          <w:lang w:val="en-US"/>
        </w:rPr>
        <w:t>79,4</w:t>
      </w:r>
      <w:r>
        <w:rPr>
          <w:b w:val="0"/>
          <w:bCs w:val="0"/>
          <w:i w:val="0"/>
          <w:iCs w:val="0"/>
          <w:sz w:val="24"/>
          <w:lang w:val="en-US"/>
        </w:rPr>
        <w:t xml:space="preserve"> % in ter</w:t>
      </w:r>
      <w:r w:rsidR="002B6466">
        <w:rPr>
          <w:b w:val="0"/>
          <w:bCs w:val="0"/>
          <w:i w:val="0"/>
          <w:iCs w:val="0"/>
          <w:sz w:val="24"/>
          <w:lang w:val="en-US"/>
        </w:rPr>
        <w:t>ms of revenues (end of 2011), 70,5</w:t>
      </w:r>
      <w:r>
        <w:rPr>
          <w:b w:val="0"/>
          <w:bCs w:val="0"/>
          <w:i w:val="0"/>
          <w:iCs w:val="0"/>
          <w:sz w:val="24"/>
          <w:lang w:val="en-US"/>
        </w:rPr>
        <w:t xml:space="preserve"> % in terms o</w:t>
      </w:r>
      <w:r w:rsidR="002B6466">
        <w:rPr>
          <w:b w:val="0"/>
          <w:bCs w:val="0"/>
          <w:i w:val="0"/>
          <w:iCs w:val="0"/>
          <w:sz w:val="24"/>
          <w:lang w:val="en-US"/>
        </w:rPr>
        <w:t>f call duration (end of 2011)</w:t>
      </w:r>
      <w:r>
        <w:rPr>
          <w:b w:val="0"/>
          <w:bCs w:val="0"/>
          <w:i w:val="0"/>
          <w:iCs w:val="0"/>
          <w:sz w:val="24"/>
          <w:lang w:val="en-US"/>
        </w:rPr>
        <w:t>;</w:t>
      </w:r>
    </w:p>
    <w:p w:rsidR="00F02FE9" w:rsidRDefault="00F02FE9" w:rsidP="00F02FE9">
      <w:pPr>
        <w:pStyle w:val="BodyText3"/>
        <w:numPr>
          <w:ilvl w:val="0"/>
          <w:numId w:val="22"/>
        </w:numPr>
        <w:jc w:val="both"/>
        <w:rPr>
          <w:b w:val="0"/>
          <w:bCs w:val="0"/>
          <w:i w:val="0"/>
          <w:iCs w:val="0"/>
          <w:sz w:val="24"/>
          <w:lang w:val="en-US"/>
        </w:rPr>
      </w:pPr>
      <w:r>
        <w:rPr>
          <w:b w:val="0"/>
          <w:bCs w:val="0"/>
          <w:i w:val="0"/>
          <w:iCs w:val="0"/>
          <w:sz w:val="24"/>
          <w:lang w:val="en-US"/>
        </w:rPr>
        <w:t xml:space="preserve">Publicly available local and/or national telephone services provided at fixed location for non-residential customers (Market 5 of the Commission Recommendation 2003/11/EC) </w:t>
      </w:r>
      <w:r w:rsidR="002B6466">
        <w:rPr>
          <w:b w:val="0"/>
          <w:bCs w:val="0"/>
          <w:i w:val="0"/>
          <w:iCs w:val="0"/>
          <w:sz w:val="24"/>
          <w:lang w:val="en-US"/>
        </w:rPr>
        <w:t>–</w:t>
      </w:r>
      <w:r>
        <w:rPr>
          <w:b w:val="0"/>
          <w:bCs w:val="0"/>
          <w:i w:val="0"/>
          <w:iCs w:val="0"/>
          <w:sz w:val="24"/>
          <w:lang w:val="en-US"/>
        </w:rPr>
        <w:t xml:space="preserve"> </w:t>
      </w:r>
      <w:r w:rsidR="002B6466">
        <w:rPr>
          <w:b w:val="0"/>
          <w:bCs w:val="0"/>
          <w:i w:val="0"/>
          <w:iCs w:val="0"/>
          <w:sz w:val="24"/>
          <w:lang w:val="en-US"/>
        </w:rPr>
        <w:t>88,3 % in terms of revenues (end of 2011), 84,3 % in terms of call duration (end of 2011), 72,9 % in terms of number of customers</w:t>
      </w:r>
      <w:r>
        <w:rPr>
          <w:b w:val="0"/>
          <w:bCs w:val="0"/>
          <w:i w:val="0"/>
          <w:iCs w:val="0"/>
          <w:sz w:val="24"/>
          <w:lang w:val="en-US"/>
        </w:rPr>
        <w:t>;</w:t>
      </w:r>
    </w:p>
    <w:p w:rsidR="00F02FE9" w:rsidRPr="002768C8" w:rsidRDefault="00F02FE9" w:rsidP="00F02FE9">
      <w:pPr>
        <w:pStyle w:val="BodyText3"/>
        <w:numPr>
          <w:ilvl w:val="0"/>
          <w:numId w:val="22"/>
        </w:numPr>
        <w:jc w:val="both"/>
        <w:rPr>
          <w:b w:val="0"/>
          <w:bCs w:val="0"/>
          <w:i w:val="0"/>
          <w:iCs w:val="0"/>
          <w:sz w:val="24"/>
          <w:lang w:val="en-US"/>
        </w:rPr>
      </w:pPr>
      <w:r w:rsidRPr="002768C8">
        <w:rPr>
          <w:b w:val="0"/>
          <w:i w:val="0"/>
          <w:sz w:val="24"/>
          <w:lang w:val="en-US"/>
        </w:rPr>
        <w:t>Publicly available international telephone services provided at fixed location for non-residential customers (Market 6 of the Commission Recommendation 2003/11/EC)</w:t>
      </w:r>
      <w:r>
        <w:rPr>
          <w:b w:val="0"/>
          <w:i w:val="0"/>
          <w:sz w:val="24"/>
          <w:lang w:val="en-US"/>
        </w:rPr>
        <w:t xml:space="preserve"> </w:t>
      </w:r>
      <w:r w:rsidR="002B6466">
        <w:rPr>
          <w:b w:val="0"/>
          <w:bCs w:val="0"/>
          <w:i w:val="0"/>
          <w:iCs w:val="0"/>
          <w:sz w:val="24"/>
          <w:lang w:val="en-US"/>
        </w:rPr>
        <w:t>– 66</w:t>
      </w:r>
      <w:proofErr w:type="gramStart"/>
      <w:r w:rsidR="002B6466">
        <w:rPr>
          <w:b w:val="0"/>
          <w:bCs w:val="0"/>
          <w:i w:val="0"/>
          <w:iCs w:val="0"/>
          <w:sz w:val="24"/>
          <w:lang w:val="en-US"/>
        </w:rPr>
        <w:t>,2</w:t>
      </w:r>
      <w:proofErr w:type="gramEnd"/>
      <w:r w:rsidR="002B6466">
        <w:rPr>
          <w:b w:val="0"/>
          <w:bCs w:val="0"/>
          <w:i w:val="0"/>
          <w:iCs w:val="0"/>
          <w:sz w:val="24"/>
          <w:lang w:val="en-US"/>
        </w:rPr>
        <w:t xml:space="preserve"> % in terms of revenues (end of 2011), 50,4 % in terms of call duration (end of 2011)</w:t>
      </w:r>
      <w:r w:rsidRPr="002768C8">
        <w:rPr>
          <w:sz w:val="24"/>
          <w:lang w:val="en-US"/>
        </w:rPr>
        <w:t>.</w:t>
      </w:r>
    </w:p>
    <w:p w:rsidR="00C74B7D" w:rsidRDefault="00C74B7D" w:rsidP="00C74B7D">
      <w:pPr>
        <w:pStyle w:val="Notifqu"/>
        <w:ind w:left="0" w:firstLine="0"/>
        <w:rPr>
          <w:szCs w:val="24"/>
          <w:lang w:val="en-US"/>
        </w:rPr>
      </w:pPr>
    </w:p>
    <w:p w:rsidR="00C74B7D" w:rsidRPr="008D1156" w:rsidRDefault="00C74B7D" w:rsidP="00C74B7D">
      <w:pPr>
        <w:pStyle w:val="Notifqu"/>
        <w:ind w:left="0" w:firstLine="0"/>
        <w:rPr>
          <w:szCs w:val="24"/>
          <w:lang w:val="en-US"/>
        </w:rPr>
      </w:pPr>
      <w:r w:rsidRPr="008D1156">
        <w:rPr>
          <w:szCs w:val="24"/>
          <w:lang w:val="en-US"/>
        </w:rPr>
        <w:t>2.5 The opinion of the national competition authority, where provided.</w:t>
      </w:r>
    </w:p>
    <w:p w:rsidR="00C74B7D" w:rsidRPr="008D1156" w:rsidRDefault="004D2459" w:rsidP="00C74B7D">
      <w:pPr>
        <w:pStyle w:val="Notifqu"/>
        <w:ind w:left="180" w:hanging="10"/>
        <w:jc w:val="both"/>
        <w:rPr>
          <w:i w:val="0"/>
          <w:lang w:val="en-US"/>
        </w:rPr>
      </w:pPr>
      <w:r>
        <w:rPr>
          <w:i w:val="0"/>
          <w:lang w:val="en-US"/>
        </w:rPr>
        <w:t>The Competition Council had no comments, remarks or proposals</w:t>
      </w:r>
      <w:r w:rsidR="00C74B7D" w:rsidRPr="008D1156">
        <w:rPr>
          <w:i w:val="0"/>
          <w:lang w:val="en-US"/>
        </w:rPr>
        <w:t>.</w:t>
      </w:r>
    </w:p>
    <w:p w:rsidR="00C74B7D" w:rsidRDefault="00C74B7D" w:rsidP="00C74B7D">
      <w:pPr>
        <w:pStyle w:val="Notifqu"/>
        <w:ind w:left="170" w:firstLine="0"/>
        <w:jc w:val="both"/>
        <w:rPr>
          <w:szCs w:val="24"/>
          <w:lang w:val="en-US"/>
        </w:rPr>
      </w:pPr>
    </w:p>
    <w:p w:rsidR="00C74B7D" w:rsidRPr="008D1156" w:rsidRDefault="00C74B7D" w:rsidP="00C74B7D">
      <w:pPr>
        <w:pStyle w:val="Notifqu"/>
        <w:ind w:left="170" w:firstLine="0"/>
        <w:jc w:val="both"/>
        <w:rPr>
          <w:szCs w:val="24"/>
          <w:lang w:val="en-US"/>
        </w:rPr>
      </w:pPr>
      <w:r w:rsidRPr="008D1156">
        <w:rPr>
          <w:szCs w:val="24"/>
          <w:lang w:val="en-US"/>
        </w:rPr>
        <w:t>2.6 The results of the public consultation to date on the proposed designation(s) as undertakings having significant market power (e.g. total number of comments received, numbers agreeing/disagreeing)</w:t>
      </w:r>
    </w:p>
    <w:p w:rsidR="00C74B7D" w:rsidRPr="008D1156" w:rsidRDefault="00C74B7D" w:rsidP="00C74B7D">
      <w:pPr>
        <w:jc w:val="both"/>
        <w:rPr>
          <w:lang w:val="en-US"/>
        </w:rPr>
      </w:pPr>
    </w:p>
    <w:p w:rsidR="00C74B7D" w:rsidRPr="008D1156" w:rsidRDefault="002F1173" w:rsidP="00C74B7D">
      <w:pPr>
        <w:autoSpaceDE w:val="0"/>
        <w:autoSpaceDN w:val="0"/>
        <w:adjustRightInd w:val="0"/>
        <w:spacing w:after="120"/>
        <w:jc w:val="both"/>
        <w:rPr>
          <w:lang w:val="en-US"/>
        </w:rPr>
      </w:pPr>
      <w:r>
        <w:rPr>
          <w:lang w:val="en-US"/>
        </w:rPr>
        <w:t xml:space="preserve">The Incumbent </w:t>
      </w:r>
      <w:r w:rsidR="002B6466">
        <w:rPr>
          <w:lang w:val="en-US"/>
        </w:rPr>
        <w:t xml:space="preserve">has not </w:t>
      </w:r>
      <w:r>
        <w:rPr>
          <w:lang w:val="en-US"/>
        </w:rPr>
        <w:t xml:space="preserve">provided </w:t>
      </w:r>
      <w:r w:rsidR="002B6466">
        <w:rPr>
          <w:lang w:val="en-US"/>
        </w:rPr>
        <w:t xml:space="preserve">comments and agreed with the conclusions of RRT. 5 ALTNETS strongly opposed conclusions of RRT and provided 33 comments. </w:t>
      </w:r>
      <w:r>
        <w:rPr>
          <w:lang w:val="en-US"/>
        </w:rPr>
        <w:t xml:space="preserve">The main conclusions were laid out in question No 1.3 of this form. </w:t>
      </w:r>
    </w:p>
    <w:p w:rsidR="00C74B7D" w:rsidRPr="008D1156" w:rsidRDefault="00C74B7D" w:rsidP="00C74B7D">
      <w:pPr>
        <w:pStyle w:val="Heading2"/>
        <w:jc w:val="center"/>
        <w:rPr>
          <w:szCs w:val="24"/>
          <w:lang w:val="en-US"/>
        </w:rPr>
      </w:pPr>
      <w:r w:rsidRPr="008D1156">
        <w:rPr>
          <w:szCs w:val="24"/>
          <w:lang w:val="en-US"/>
        </w:rPr>
        <w:t xml:space="preserve">Section 3 </w:t>
      </w:r>
      <w:r w:rsidRPr="008D1156">
        <w:rPr>
          <w:szCs w:val="24"/>
          <w:lang w:val="en-US"/>
        </w:rPr>
        <w:br/>
        <w:t>Regulatory obligations</w:t>
      </w:r>
    </w:p>
    <w:p w:rsidR="00C74B7D" w:rsidRPr="008D1156" w:rsidRDefault="00C74B7D" w:rsidP="00C74B7D">
      <w:pPr>
        <w:pStyle w:val="Notifqu"/>
        <w:rPr>
          <w:szCs w:val="24"/>
          <w:lang w:val="en-US"/>
        </w:rPr>
      </w:pPr>
    </w:p>
    <w:p w:rsidR="00C74B7D" w:rsidRPr="008D1156" w:rsidRDefault="00C74B7D" w:rsidP="00C74B7D">
      <w:pPr>
        <w:pStyle w:val="Notifqu"/>
        <w:ind w:left="180" w:firstLine="0"/>
        <w:jc w:val="both"/>
        <w:rPr>
          <w:szCs w:val="24"/>
          <w:lang w:val="en-US"/>
        </w:rPr>
      </w:pPr>
      <w:r w:rsidRPr="008D1156">
        <w:rPr>
          <w:szCs w:val="24"/>
          <w:lang w:val="en-US"/>
        </w:rPr>
        <w:t>3.1 The legal basis for the obligations to be imposed, maintained, amended or withdrawn (Articles 9 to 13 of Directive 2002/19/EC).</w:t>
      </w:r>
    </w:p>
    <w:p w:rsidR="0086464C" w:rsidRDefault="002B6466" w:rsidP="00C74B7D">
      <w:pPr>
        <w:jc w:val="both"/>
        <w:rPr>
          <w:lang w:val="en-US"/>
        </w:rPr>
      </w:pPr>
      <w:r w:rsidRPr="000E1FB5">
        <w:rPr>
          <w:lang w:val="en-US"/>
        </w:rPr>
        <w:t xml:space="preserve">The legal </w:t>
      </w:r>
      <w:proofErr w:type="gramStart"/>
      <w:r w:rsidRPr="000E1FB5">
        <w:rPr>
          <w:lang w:val="en-US"/>
        </w:rPr>
        <w:t>basis to withdraw obligations are</w:t>
      </w:r>
      <w:proofErr w:type="gramEnd"/>
      <w:r w:rsidRPr="000E1FB5">
        <w:rPr>
          <w:lang w:val="en-US"/>
        </w:rPr>
        <w:t xml:space="preserve">: </w:t>
      </w:r>
      <w:r w:rsidR="000E1FB5" w:rsidRPr="000E1FB5">
        <w:rPr>
          <w:lang w:val="en-US"/>
        </w:rPr>
        <w:t xml:space="preserve">Article 8(3) of Access Directive, </w:t>
      </w:r>
      <w:r w:rsidR="0086464C" w:rsidRPr="000E1FB5">
        <w:rPr>
          <w:lang w:val="en-US"/>
        </w:rPr>
        <w:t>Article 17 paragraph 7 of the Law on Electronic Communications;</w:t>
      </w:r>
    </w:p>
    <w:p w:rsidR="0086464C" w:rsidRDefault="0086464C" w:rsidP="00C74B7D">
      <w:pPr>
        <w:jc w:val="both"/>
        <w:rPr>
          <w:lang w:val="en-US"/>
        </w:rPr>
      </w:pPr>
    </w:p>
    <w:p w:rsidR="00C74B7D" w:rsidRPr="008D1156" w:rsidRDefault="00C74B7D" w:rsidP="00C74B7D">
      <w:pPr>
        <w:pStyle w:val="Notifqu"/>
        <w:ind w:left="180" w:firstLine="0"/>
        <w:jc w:val="both"/>
        <w:rPr>
          <w:szCs w:val="24"/>
          <w:lang w:val="en-US"/>
        </w:rPr>
      </w:pPr>
      <w:r w:rsidRPr="008D1156">
        <w:rPr>
          <w:szCs w:val="24"/>
          <w:lang w:val="en-US"/>
        </w:rPr>
        <w:t>3.2 The reasons for which the imposition, maintenance or amendment of obligations on undertakings is considered proportional and justified in the light of the objectives laid down in Article 8 of Directive 2002/21/EC.  Alternatively, indicate the paragraphs, sections or pages of the draft measure where such information is to be found.</w:t>
      </w:r>
    </w:p>
    <w:p w:rsidR="0086464C" w:rsidRPr="002768C8" w:rsidRDefault="0086464C" w:rsidP="0086464C">
      <w:pPr>
        <w:pStyle w:val="BodyText3"/>
        <w:jc w:val="both"/>
        <w:rPr>
          <w:b w:val="0"/>
          <w:bCs w:val="0"/>
          <w:i w:val="0"/>
          <w:iCs w:val="0"/>
          <w:sz w:val="24"/>
          <w:lang w:val="en-US"/>
        </w:rPr>
      </w:pPr>
      <w:r w:rsidRPr="0086464C">
        <w:rPr>
          <w:b w:val="0"/>
          <w:i w:val="0"/>
          <w:sz w:val="24"/>
          <w:lang w:val="en-US"/>
        </w:rPr>
        <w:t>T</w:t>
      </w:r>
      <w:r w:rsidR="00C74B7D" w:rsidRPr="0086464C">
        <w:rPr>
          <w:b w:val="0"/>
          <w:i w:val="0"/>
          <w:sz w:val="24"/>
          <w:lang w:val="en-US"/>
        </w:rPr>
        <w:t xml:space="preserve">he detailed reasoning is </w:t>
      </w:r>
      <w:r w:rsidR="004B46D9" w:rsidRPr="0086464C">
        <w:rPr>
          <w:b w:val="0"/>
          <w:i w:val="0"/>
          <w:sz w:val="24"/>
          <w:lang w:val="en-US"/>
        </w:rPr>
        <w:t xml:space="preserve">provided </w:t>
      </w:r>
      <w:r w:rsidR="00C74B7D" w:rsidRPr="0086464C">
        <w:rPr>
          <w:b w:val="0"/>
          <w:i w:val="0"/>
          <w:sz w:val="24"/>
          <w:lang w:val="en-US"/>
        </w:rPr>
        <w:t xml:space="preserve">in </w:t>
      </w:r>
      <w:r w:rsidR="004B46D9" w:rsidRPr="0086464C">
        <w:rPr>
          <w:b w:val="0"/>
          <w:i w:val="0"/>
          <w:sz w:val="24"/>
          <w:lang w:val="en-US"/>
        </w:rPr>
        <w:t>C</w:t>
      </w:r>
      <w:r w:rsidR="00434EA8" w:rsidRPr="0086464C">
        <w:rPr>
          <w:b w:val="0"/>
          <w:i w:val="0"/>
          <w:sz w:val="24"/>
          <w:lang w:val="en-US"/>
        </w:rPr>
        <w:t xml:space="preserve">hapter </w:t>
      </w:r>
      <w:r w:rsidRPr="0086464C">
        <w:rPr>
          <w:b w:val="0"/>
          <w:i w:val="0"/>
          <w:sz w:val="24"/>
          <w:lang w:val="en-US"/>
        </w:rPr>
        <w:t xml:space="preserve">3.3 </w:t>
      </w:r>
      <w:r w:rsidR="00957CCF" w:rsidRPr="0086464C">
        <w:rPr>
          <w:b w:val="0"/>
          <w:i w:val="0"/>
          <w:sz w:val="24"/>
          <w:lang w:val="en-US"/>
        </w:rPr>
        <w:t>the draft R</w:t>
      </w:r>
      <w:r w:rsidR="00C74B7D" w:rsidRPr="0086464C">
        <w:rPr>
          <w:b w:val="0"/>
          <w:i w:val="0"/>
          <w:sz w:val="24"/>
          <w:lang w:val="en-US"/>
        </w:rPr>
        <w:t>eport</w:t>
      </w:r>
      <w:r w:rsidR="00957CCF" w:rsidRPr="0086464C">
        <w:rPr>
          <w:b w:val="0"/>
          <w:i w:val="0"/>
          <w:sz w:val="24"/>
          <w:lang w:val="en-US"/>
        </w:rPr>
        <w:t xml:space="preserve"> on</w:t>
      </w:r>
      <w:r w:rsidRPr="0086464C">
        <w:rPr>
          <w:b w:val="0"/>
          <w:i w:val="0"/>
          <w:sz w:val="24"/>
          <w:lang w:val="en-US"/>
        </w:rPr>
        <w:t xml:space="preserve"> </w:t>
      </w:r>
      <w:r w:rsidRPr="0086464C">
        <w:rPr>
          <w:b w:val="0"/>
          <w:bCs w:val="0"/>
          <w:i w:val="0"/>
          <w:iCs w:val="0"/>
          <w:sz w:val="24"/>
          <w:lang w:val="en-US"/>
        </w:rPr>
        <w:t xml:space="preserve">Publicly available local and/or national telephone services provided at fixed location for residential customers, Publicly available international telephone services provided at fixed location for residential customers; Publicly available local and/or national telephone services provided at fixed location for non-residential customers; </w:t>
      </w:r>
      <w:r w:rsidRPr="0086464C">
        <w:rPr>
          <w:b w:val="0"/>
          <w:i w:val="0"/>
          <w:sz w:val="24"/>
          <w:lang w:val="en-US"/>
        </w:rPr>
        <w:t>Publicly available international telephone services provided at fixed location for non-residential customers markets</w:t>
      </w:r>
      <w:r w:rsidRPr="002768C8">
        <w:rPr>
          <w:sz w:val="24"/>
          <w:lang w:val="en-US"/>
        </w:rPr>
        <w:t>.</w:t>
      </w:r>
    </w:p>
    <w:p w:rsidR="00C74B7D" w:rsidRPr="008D1156" w:rsidRDefault="00C74B7D" w:rsidP="00C74B7D">
      <w:pPr>
        <w:pStyle w:val="Notifbody"/>
        <w:rPr>
          <w:szCs w:val="24"/>
          <w:lang w:val="en-US"/>
        </w:rPr>
      </w:pPr>
      <w:r w:rsidRPr="008D1156">
        <w:rPr>
          <w:szCs w:val="24"/>
          <w:lang w:val="en-US"/>
        </w:rPr>
        <w:t xml:space="preserve">. </w:t>
      </w:r>
    </w:p>
    <w:p w:rsidR="00C74B7D" w:rsidRPr="008D1156" w:rsidRDefault="00C74B7D" w:rsidP="00C74B7D">
      <w:pPr>
        <w:pStyle w:val="Notifqu"/>
        <w:ind w:left="180" w:hanging="10"/>
        <w:jc w:val="both"/>
        <w:rPr>
          <w:szCs w:val="24"/>
          <w:lang w:val="en-US"/>
        </w:rPr>
      </w:pPr>
      <w:r w:rsidRPr="008D1156">
        <w:rPr>
          <w:szCs w:val="24"/>
          <w:lang w:val="en-US"/>
        </w:rPr>
        <w:lastRenderedPageBreak/>
        <w:t>3.3 Where the remedies proposed are other than those set out in Articles 9 to 13 of Directive 2002/19/EC, please indicate what « exceptional circumstances » within the meaning of Article 8 (3) of that directive justify the imposition of such remedies. Alternatively, indicate the paragraphs, sections or pages of the draft measure where such information is to be found.</w:t>
      </w:r>
    </w:p>
    <w:p w:rsidR="00C74B7D" w:rsidRPr="008D1156" w:rsidRDefault="00C74B7D" w:rsidP="00C74B7D">
      <w:pPr>
        <w:pStyle w:val="Notifbody"/>
        <w:rPr>
          <w:szCs w:val="24"/>
          <w:lang w:val="en-US"/>
        </w:rPr>
      </w:pPr>
      <w:r>
        <w:rPr>
          <w:szCs w:val="24"/>
          <w:lang w:val="en-US"/>
        </w:rPr>
        <w:t>Not applicable.</w:t>
      </w:r>
    </w:p>
    <w:p w:rsidR="00C74B7D" w:rsidRPr="008D1156" w:rsidRDefault="00C74B7D" w:rsidP="00C74B7D">
      <w:pPr>
        <w:pStyle w:val="Notifbody"/>
        <w:jc w:val="center"/>
        <w:rPr>
          <w:szCs w:val="24"/>
          <w:lang w:val="en-US"/>
        </w:rPr>
      </w:pPr>
    </w:p>
    <w:p w:rsidR="00C74B7D" w:rsidRPr="008D1156" w:rsidRDefault="00C74B7D" w:rsidP="00C74B7D">
      <w:pPr>
        <w:pStyle w:val="Heading2"/>
        <w:jc w:val="center"/>
        <w:rPr>
          <w:snapToGrid w:val="0"/>
          <w:szCs w:val="24"/>
          <w:lang w:val="en-US" w:eastAsia="en-US"/>
        </w:rPr>
      </w:pPr>
      <w:r w:rsidRPr="008D1156">
        <w:rPr>
          <w:szCs w:val="24"/>
          <w:lang w:val="en-US"/>
        </w:rPr>
        <w:t xml:space="preserve">Section 4 </w:t>
      </w:r>
      <w:r w:rsidRPr="008D1156">
        <w:rPr>
          <w:szCs w:val="24"/>
          <w:lang w:val="en-US"/>
        </w:rPr>
        <w:br/>
      </w:r>
      <w:r w:rsidRPr="008D1156">
        <w:rPr>
          <w:snapToGrid w:val="0"/>
          <w:szCs w:val="24"/>
          <w:lang w:val="en-US" w:eastAsia="en-US"/>
        </w:rPr>
        <w:t>Compliance with international obligations</w:t>
      </w:r>
    </w:p>
    <w:p w:rsidR="00C74B7D" w:rsidRPr="008D1156" w:rsidRDefault="00C74B7D" w:rsidP="00C74B7D">
      <w:pPr>
        <w:pStyle w:val="Notifqu"/>
        <w:rPr>
          <w:szCs w:val="24"/>
          <w:lang w:val="en-US"/>
        </w:rPr>
      </w:pPr>
    </w:p>
    <w:p w:rsidR="00C74B7D" w:rsidRPr="008D1156" w:rsidRDefault="00C74B7D" w:rsidP="00C74B7D">
      <w:pPr>
        <w:pStyle w:val="Notifqu"/>
        <w:ind w:left="180" w:firstLine="0"/>
        <w:jc w:val="both"/>
        <w:rPr>
          <w:szCs w:val="24"/>
          <w:lang w:val="en-US"/>
        </w:rPr>
      </w:pPr>
      <w:r w:rsidRPr="008D1156">
        <w:rPr>
          <w:szCs w:val="24"/>
          <w:lang w:val="en-US"/>
        </w:rPr>
        <w:t>4.1 Whether the proposed draft measure intends to impose, amend or withdraw obligations on market players as provided for in Article 8(5) of Directive 2002/19/EC.</w:t>
      </w:r>
    </w:p>
    <w:p w:rsidR="00C74B7D" w:rsidRPr="008D1156" w:rsidRDefault="00C74B7D" w:rsidP="00C74B7D">
      <w:pPr>
        <w:pStyle w:val="Notifbody"/>
        <w:rPr>
          <w:szCs w:val="24"/>
          <w:lang w:val="en-US"/>
        </w:rPr>
      </w:pPr>
      <w:r w:rsidRPr="008D1156">
        <w:rPr>
          <w:szCs w:val="24"/>
          <w:lang w:val="en-US"/>
        </w:rPr>
        <w:t>Not applicable</w:t>
      </w:r>
      <w:r>
        <w:rPr>
          <w:szCs w:val="24"/>
          <w:lang w:val="en-US"/>
        </w:rPr>
        <w:t>.</w:t>
      </w:r>
    </w:p>
    <w:p w:rsidR="00C74B7D" w:rsidRPr="008D1156" w:rsidRDefault="00C74B7D" w:rsidP="00C74B7D">
      <w:pPr>
        <w:pStyle w:val="Notifqu"/>
        <w:rPr>
          <w:szCs w:val="24"/>
          <w:lang w:val="en-US"/>
        </w:rPr>
      </w:pPr>
    </w:p>
    <w:p w:rsidR="00C74B7D" w:rsidRPr="008D1156" w:rsidRDefault="00C74B7D" w:rsidP="00C74B7D">
      <w:pPr>
        <w:pStyle w:val="Notifqu"/>
        <w:rPr>
          <w:szCs w:val="24"/>
          <w:lang w:val="en-US"/>
        </w:rPr>
      </w:pPr>
      <w:r w:rsidRPr="008D1156">
        <w:rPr>
          <w:szCs w:val="24"/>
          <w:lang w:val="en-US"/>
        </w:rPr>
        <w:t>4.</w:t>
      </w:r>
      <w:r>
        <w:rPr>
          <w:szCs w:val="24"/>
          <w:lang w:val="en-US"/>
        </w:rPr>
        <w:t xml:space="preserve">2 The name of the undertakings </w:t>
      </w:r>
      <w:r w:rsidRPr="008D1156">
        <w:rPr>
          <w:szCs w:val="24"/>
          <w:lang w:val="en-US"/>
        </w:rPr>
        <w:t>concerned.</w:t>
      </w:r>
    </w:p>
    <w:p w:rsidR="00C74B7D" w:rsidRPr="008D1156" w:rsidRDefault="00C74B7D" w:rsidP="00C74B7D">
      <w:pPr>
        <w:pStyle w:val="Notifbody"/>
        <w:rPr>
          <w:szCs w:val="24"/>
          <w:lang w:val="en-US"/>
        </w:rPr>
      </w:pPr>
      <w:r w:rsidRPr="008D1156">
        <w:rPr>
          <w:szCs w:val="24"/>
          <w:lang w:val="en-US"/>
        </w:rPr>
        <w:t>Not applicable</w:t>
      </w:r>
      <w:r>
        <w:rPr>
          <w:szCs w:val="24"/>
          <w:lang w:val="en-US"/>
        </w:rPr>
        <w:t>.</w:t>
      </w:r>
    </w:p>
    <w:p w:rsidR="00C74B7D" w:rsidRPr="008D1156" w:rsidRDefault="00C74B7D" w:rsidP="00C74B7D">
      <w:pPr>
        <w:pStyle w:val="Notifqu"/>
        <w:rPr>
          <w:szCs w:val="24"/>
          <w:lang w:val="en-US"/>
        </w:rPr>
      </w:pPr>
    </w:p>
    <w:p w:rsidR="00C74B7D" w:rsidRPr="008D1156" w:rsidRDefault="00C74B7D" w:rsidP="00C74B7D">
      <w:pPr>
        <w:pStyle w:val="Notifqu"/>
        <w:ind w:left="180" w:hanging="10"/>
        <w:jc w:val="both"/>
        <w:rPr>
          <w:szCs w:val="24"/>
          <w:lang w:val="en-US"/>
        </w:rPr>
      </w:pPr>
      <w:r w:rsidRPr="008D1156">
        <w:rPr>
          <w:szCs w:val="24"/>
          <w:lang w:val="en-US"/>
        </w:rPr>
        <w:t>4.3 What international commitments entered into by the Community and the Member States are to be met.</w:t>
      </w:r>
    </w:p>
    <w:p w:rsidR="00C74B7D" w:rsidRPr="008D1156" w:rsidRDefault="00C74B7D" w:rsidP="00C74B7D">
      <w:pPr>
        <w:widowControl w:val="0"/>
        <w:autoSpaceDE w:val="0"/>
        <w:autoSpaceDN w:val="0"/>
        <w:adjustRightInd w:val="0"/>
        <w:jc w:val="both"/>
        <w:rPr>
          <w:lang w:val="en-US"/>
        </w:rPr>
      </w:pPr>
      <w:r w:rsidRPr="008D1156">
        <w:rPr>
          <w:lang w:val="en-US"/>
        </w:rPr>
        <w:t>Not applicable</w:t>
      </w:r>
      <w:r>
        <w:rPr>
          <w:lang w:val="en-US"/>
        </w:rPr>
        <w:t>.</w:t>
      </w:r>
    </w:p>
    <w:p w:rsidR="00C74B7D" w:rsidRPr="008D1156" w:rsidRDefault="00C74B7D" w:rsidP="00C74B7D">
      <w:pPr>
        <w:rPr>
          <w:lang w:val="en-US"/>
        </w:rPr>
      </w:pPr>
    </w:p>
    <w:p w:rsidR="003A70A2" w:rsidRPr="008D1156" w:rsidRDefault="003A70A2" w:rsidP="0054363A">
      <w:pPr>
        <w:pStyle w:val="Heading2"/>
        <w:jc w:val="center"/>
        <w:rPr>
          <w:szCs w:val="24"/>
          <w:lang w:val="en-US"/>
        </w:rPr>
      </w:pPr>
    </w:p>
    <w:sectPr w:rsidR="003A70A2" w:rsidRPr="008D1156" w:rsidSect="00084887">
      <w:footerReference w:type="even" r:id="rId8"/>
      <w:footerReference w:type="default" r:id="rId9"/>
      <w:pgSz w:w="12240" w:h="15840"/>
      <w:pgMar w:top="1417" w:right="1417" w:bottom="1417" w:left="1417" w:header="708" w:footer="708"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2256" w:rsidRDefault="00AB2256">
      <w:r>
        <w:separator/>
      </w:r>
    </w:p>
  </w:endnote>
  <w:endnote w:type="continuationSeparator" w:id="0">
    <w:p w:rsidR="00AB2256" w:rsidRDefault="00AB2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FE9" w:rsidRDefault="00F02F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02FE9" w:rsidRDefault="00F02F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FE9" w:rsidRDefault="00F02FE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7E4C">
      <w:rPr>
        <w:rStyle w:val="PageNumber"/>
        <w:noProof/>
      </w:rPr>
      <w:t>5</w:t>
    </w:r>
    <w:r>
      <w:rPr>
        <w:rStyle w:val="PageNumber"/>
      </w:rPr>
      <w:fldChar w:fldCharType="end"/>
    </w:r>
  </w:p>
  <w:p w:rsidR="00F02FE9" w:rsidRDefault="00F02FE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2256" w:rsidRDefault="00AB2256">
      <w:r>
        <w:separator/>
      </w:r>
    </w:p>
  </w:footnote>
  <w:footnote w:type="continuationSeparator" w:id="0">
    <w:p w:rsidR="00AB2256" w:rsidRDefault="00AB22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42620A"/>
    <w:multiLevelType w:val="multilevel"/>
    <w:tmpl w:val="A9B07922"/>
    <w:lvl w:ilvl="0">
      <w:start w:val="1"/>
      <w:numFmt w:val="decimal"/>
      <w:lvlText w:val="%1."/>
      <w:lvlJc w:val="left"/>
      <w:pPr>
        <w:ind w:left="1495" w:hanging="360"/>
      </w:pPr>
    </w:lvl>
    <w:lvl w:ilvl="1">
      <w:start w:val="1"/>
      <w:numFmt w:val="decimal"/>
      <w:isLgl/>
      <w:lvlText w:val="%1.%2."/>
      <w:lvlJc w:val="left"/>
      <w:pPr>
        <w:ind w:left="2275" w:hanging="1140"/>
      </w:pPr>
    </w:lvl>
    <w:lvl w:ilvl="2">
      <w:start w:val="1"/>
      <w:numFmt w:val="decimal"/>
      <w:isLgl/>
      <w:lvlText w:val="%1.%2.%3."/>
      <w:lvlJc w:val="left"/>
      <w:pPr>
        <w:ind w:left="2275" w:hanging="1140"/>
      </w:pPr>
    </w:lvl>
    <w:lvl w:ilvl="3">
      <w:start w:val="1"/>
      <w:numFmt w:val="decimal"/>
      <w:isLgl/>
      <w:lvlText w:val="%1.%2.%3.%4."/>
      <w:lvlJc w:val="left"/>
      <w:pPr>
        <w:ind w:left="2275" w:hanging="1140"/>
      </w:pPr>
    </w:lvl>
    <w:lvl w:ilvl="4">
      <w:start w:val="1"/>
      <w:numFmt w:val="decimal"/>
      <w:isLgl/>
      <w:lvlText w:val="%1.%2.%3.%4.%5."/>
      <w:lvlJc w:val="left"/>
      <w:pPr>
        <w:ind w:left="2275" w:hanging="1140"/>
      </w:pPr>
    </w:lvl>
    <w:lvl w:ilvl="5">
      <w:start w:val="1"/>
      <w:numFmt w:val="decimal"/>
      <w:isLgl/>
      <w:lvlText w:val="%1.%2.%3.%4.%5.%6."/>
      <w:lvlJc w:val="left"/>
      <w:pPr>
        <w:ind w:left="2275" w:hanging="114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1">
    <w:nsid w:val="0BE45967"/>
    <w:multiLevelType w:val="hybridMultilevel"/>
    <w:tmpl w:val="3ACADFBE"/>
    <w:lvl w:ilvl="0" w:tplc="04090005">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nsid w:val="0F6D76BE"/>
    <w:multiLevelType w:val="hybridMultilevel"/>
    <w:tmpl w:val="E4C8707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nsid w:val="0FE9160C"/>
    <w:multiLevelType w:val="hybridMultilevel"/>
    <w:tmpl w:val="14287F18"/>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nsid w:val="1494153B"/>
    <w:multiLevelType w:val="hybridMultilevel"/>
    <w:tmpl w:val="65BE9282"/>
    <w:lvl w:ilvl="0" w:tplc="04270011">
      <w:start w:val="1"/>
      <w:numFmt w:val="decimal"/>
      <w:lvlText w:val="%1)"/>
      <w:lvlJc w:val="left"/>
      <w:pPr>
        <w:ind w:left="890" w:hanging="360"/>
      </w:pPr>
    </w:lvl>
    <w:lvl w:ilvl="1" w:tplc="04270019" w:tentative="1">
      <w:start w:val="1"/>
      <w:numFmt w:val="lowerLetter"/>
      <w:lvlText w:val="%2."/>
      <w:lvlJc w:val="left"/>
      <w:pPr>
        <w:ind w:left="1610" w:hanging="360"/>
      </w:pPr>
    </w:lvl>
    <w:lvl w:ilvl="2" w:tplc="0427001B" w:tentative="1">
      <w:start w:val="1"/>
      <w:numFmt w:val="lowerRoman"/>
      <w:lvlText w:val="%3."/>
      <w:lvlJc w:val="right"/>
      <w:pPr>
        <w:ind w:left="2330" w:hanging="180"/>
      </w:pPr>
    </w:lvl>
    <w:lvl w:ilvl="3" w:tplc="0427000F" w:tentative="1">
      <w:start w:val="1"/>
      <w:numFmt w:val="decimal"/>
      <w:lvlText w:val="%4."/>
      <w:lvlJc w:val="left"/>
      <w:pPr>
        <w:ind w:left="3050" w:hanging="360"/>
      </w:pPr>
    </w:lvl>
    <w:lvl w:ilvl="4" w:tplc="04270019" w:tentative="1">
      <w:start w:val="1"/>
      <w:numFmt w:val="lowerLetter"/>
      <w:lvlText w:val="%5."/>
      <w:lvlJc w:val="left"/>
      <w:pPr>
        <w:ind w:left="3770" w:hanging="360"/>
      </w:pPr>
    </w:lvl>
    <w:lvl w:ilvl="5" w:tplc="0427001B" w:tentative="1">
      <w:start w:val="1"/>
      <w:numFmt w:val="lowerRoman"/>
      <w:lvlText w:val="%6."/>
      <w:lvlJc w:val="right"/>
      <w:pPr>
        <w:ind w:left="4490" w:hanging="180"/>
      </w:pPr>
    </w:lvl>
    <w:lvl w:ilvl="6" w:tplc="0427000F" w:tentative="1">
      <w:start w:val="1"/>
      <w:numFmt w:val="decimal"/>
      <w:lvlText w:val="%7."/>
      <w:lvlJc w:val="left"/>
      <w:pPr>
        <w:ind w:left="5210" w:hanging="360"/>
      </w:pPr>
    </w:lvl>
    <w:lvl w:ilvl="7" w:tplc="04270019" w:tentative="1">
      <w:start w:val="1"/>
      <w:numFmt w:val="lowerLetter"/>
      <w:lvlText w:val="%8."/>
      <w:lvlJc w:val="left"/>
      <w:pPr>
        <w:ind w:left="5930" w:hanging="360"/>
      </w:pPr>
    </w:lvl>
    <w:lvl w:ilvl="8" w:tplc="0427001B" w:tentative="1">
      <w:start w:val="1"/>
      <w:numFmt w:val="lowerRoman"/>
      <w:lvlText w:val="%9."/>
      <w:lvlJc w:val="right"/>
      <w:pPr>
        <w:ind w:left="6650" w:hanging="180"/>
      </w:pPr>
    </w:lvl>
  </w:abstractNum>
  <w:abstractNum w:abstractNumId="5">
    <w:nsid w:val="18AC2F8A"/>
    <w:multiLevelType w:val="hybridMultilevel"/>
    <w:tmpl w:val="F37C6B4C"/>
    <w:lvl w:ilvl="0" w:tplc="040E0017">
      <w:start w:val="1"/>
      <w:numFmt w:val="lowerLetter"/>
      <w:lvlText w:val="%1)"/>
      <w:lvlJc w:val="left"/>
      <w:pPr>
        <w:tabs>
          <w:tab w:val="num" w:pos="720"/>
        </w:tabs>
        <w:ind w:left="720" w:hanging="360"/>
      </w:pPr>
      <w:rPr>
        <w:rFonts w:hint="default"/>
      </w:rPr>
    </w:lvl>
    <w:lvl w:ilvl="1" w:tplc="FFFFFFFF">
      <w:numFmt w:val="bullet"/>
      <w:lvlText w:val=""/>
      <w:legacy w:legacy="1" w:legacySpace="0" w:legacyIndent="360"/>
      <w:lvlJc w:val="left"/>
      <w:pPr>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1FB35646"/>
    <w:multiLevelType w:val="hybridMultilevel"/>
    <w:tmpl w:val="E4C8707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21585577"/>
    <w:multiLevelType w:val="hybridMultilevel"/>
    <w:tmpl w:val="692419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nsid w:val="28B859E7"/>
    <w:multiLevelType w:val="hybridMultilevel"/>
    <w:tmpl w:val="60D8B4D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360F197E"/>
    <w:multiLevelType w:val="hybridMultilevel"/>
    <w:tmpl w:val="588C74C0"/>
    <w:lvl w:ilvl="0" w:tplc="7B1A1B72">
      <w:start w:val="1"/>
      <w:numFmt w:val="decimal"/>
      <w:lvlText w:val="%1)"/>
      <w:lvlJc w:val="left"/>
      <w:pPr>
        <w:ind w:left="720" w:hanging="360"/>
      </w:pPr>
      <w:rPr>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nsid w:val="43D171B2"/>
    <w:multiLevelType w:val="hybridMultilevel"/>
    <w:tmpl w:val="F840352C"/>
    <w:lvl w:ilvl="0" w:tplc="04090001">
      <w:start w:val="1"/>
      <w:numFmt w:val="bullet"/>
      <w:lvlText w:val=""/>
      <w:lvlJc w:val="left"/>
      <w:pPr>
        <w:tabs>
          <w:tab w:val="num" w:pos="890"/>
        </w:tabs>
        <w:ind w:left="890" w:hanging="360"/>
      </w:pPr>
      <w:rPr>
        <w:rFonts w:ascii="Symbol" w:hAnsi="Symbol" w:hint="default"/>
      </w:rPr>
    </w:lvl>
    <w:lvl w:ilvl="1" w:tplc="04270003" w:tentative="1">
      <w:start w:val="1"/>
      <w:numFmt w:val="bullet"/>
      <w:lvlText w:val="o"/>
      <w:lvlJc w:val="left"/>
      <w:pPr>
        <w:tabs>
          <w:tab w:val="num" w:pos="1610"/>
        </w:tabs>
        <w:ind w:left="1610" w:hanging="360"/>
      </w:pPr>
      <w:rPr>
        <w:rFonts w:ascii="Courier New" w:hAnsi="Courier New" w:cs="Courier New" w:hint="default"/>
      </w:rPr>
    </w:lvl>
    <w:lvl w:ilvl="2" w:tplc="04270005" w:tentative="1">
      <w:start w:val="1"/>
      <w:numFmt w:val="bullet"/>
      <w:lvlText w:val=""/>
      <w:lvlJc w:val="left"/>
      <w:pPr>
        <w:tabs>
          <w:tab w:val="num" w:pos="2330"/>
        </w:tabs>
        <w:ind w:left="2330" w:hanging="360"/>
      </w:pPr>
      <w:rPr>
        <w:rFonts w:ascii="Wingdings" w:hAnsi="Wingdings" w:hint="default"/>
      </w:rPr>
    </w:lvl>
    <w:lvl w:ilvl="3" w:tplc="04270001" w:tentative="1">
      <w:start w:val="1"/>
      <w:numFmt w:val="bullet"/>
      <w:lvlText w:val=""/>
      <w:lvlJc w:val="left"/>
      <w:pPr>
        <w:tabs>
          <w:tab w:val="num" w:pos="3050"/>
        </w:tabs>
        <w:ind w:left="3050" w:hanging="360"/>
      </w:pPr>
      <w:rPr>
        <w:rFonts w:ascii="Symbol" w:hAnsi="Symbol" w:hint="default"/>
      </w:rPr>
    </w:lvl>
    <w:lvl w:ilvl="4" w:tplc="04270003" w:tentative="1">
      <w:start w:val="1"/>
      <w:numFmt w:val="bullet"/>
      <w:lvlText w:val="o"/>
      <w:lvlJc w:val="left"/>
      <w:pPr>
        <w:tabs>
          <w:tab w:val="num" w:pos="3770"/>
        </w:tabs>
        <w:ind w:left="3770" w:hanging="360"/>
      </w:pPr>
      <w:rPr>
        <w:rFonts w:ascii="Courier New" w:hAnsi="Courier New" w:cs="Courier New" w:hint="default"/>
      </w:rPr>
    </w:lvl>
    <w:lvl w:ilvl="5" w:tplc="04270005" w:tentative="1">
      <w:start w:val="1"/>
      <w:numFmt w:val="bullet"/>
      <w:lvlText w:val=""/>
      <w:lvlJc w:val="left"/>
      <w:pPr>
        <w:tabs>
          <w:tab w:val="num" w:pos="4490"/>
        </w:tabs>
        <w:ind w:left="4490" w:hanging="360"/>
      </w:pPr>
      <w:rPr>
        <w:rFonts w:ascii="Wingdings" w:hAnsi="Wingdings" w:hint="default"/>
      </w:rPr>
    </w:lvl>
    <w:lvl w:ilvl="6" w:tplc="04270001" w:tentative="1">
      <w:start w:val="1"/>
      <w:numFmt w:val="bullet"/>
      <w:lvlText w:val=""/>
      <w:lvlJc w:val="left"/>
      <w:pPr>
        <w:tabs>
          <w:tab w:val="num" w:pos="5210"/>
        </w:tabs>
        <w:ind w:left="5210" w:hanging="360"/>
      </w:pPr>
      <w:rPr>
        <w:rFonts w:ascii="Symbol" w:hAnsi="Symbol" w:hint="default"/>
      </w:rPr>
    </w:lvl>
    <w:lvl w:ilvl="7" w:tplc="04270003" w:tentative="1">
      <w:start w:val="1"/>
      <w:numFmt w:val="bullet"/>
      <w:lvlText w:val="o"/>
      <w:lvlJc w:val="left"/>
      <w:pPr>
        <w:tabs>
          <w:tab w:val="num" w:pos="5930"/>
        </w:tabs>
        <w:ind w:left="5930" w:hanging="360"/>
      </w:pPr>
      <w:rPr>
        <w:rFonts w:ascii="Courier New" w:hAnsi="Courier New" w:cs="Courier New" w:hint="default"/>
      </w:rPr>
    </w:lvl>
    <w:lvl w:ilvl="8" w:tplc="04270005" w:tentative="1">
      <w:start w:val="1"/>
      <w:numFmt w:val="bullet"/>
      <w:lvlText w:val=""/>
      <w:lvlJc w:val="left"/>
      <w:pPr>
        <w:tabs>
          <w:tab w:val="num" w:pos="6650"/>
        </w:tabs>
        <w:ind w:left="6650" w:hanging="360"/>
      </w:pPr>
      <w:rPr>
        <w:rFonts w:ascii="Wingdings" w:hAnsi="Wingdings" w:hint="default"/>
      </w:rPr>
    </w:lvl>
  </w:abstractNum>
  <w:abstractNum w:abstractNumId="11">
    <w:nsid w:val="45115D76"/>
    <w:multiLevelType w:val="hybridMultilevel"/>
    <w:tmpl w:val="899C999A"/>
    <w:lvl w:ilvl="0" w:tplc="040E0001">
      <w:start w:val="1"/>
      <w:numFmt w:val="bullet"/>
      <w:lvlText w:val=""/>
      <w:lvlJc w:val="left"/>
      <w:pPr>
        <w:tabs>
          <w:tab w:val="num" w:pos="1080"/>
        </w:tabs>
        <w:ind w:left="1080" w:hanging="360"/>
      </w:pPr>
      <w:rPr>
        <w:rFonts w:ascii="Symbol" w:hAnsi="Symbol"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nsid w:val="48B2297B"/>
    <w:multiLevelType w:val="hybridMultilevel"/>
    <w:tmpl w:val="41083DF6"/>
    <w:lvl w:ilvl="0" w:tplc="B394BE62">
      <w:start w:val="5"/>
      <w:numFmt w:val="bullet"/>
      <w:lvlText w:val="-"/>
      <w:lvlJc w:val="left"/>
      <w:pPr>
        <w:tabs>
          <w:tab w:val="num" w:pos="1080"/>
        </w:tabs>
        <w:ind w:left="1080" w:hanging="360"/>
      </w:pPr>
      <w:rPr>
        <w:rFonts w:ascii="Times New Roman" w:eastAsia="Times New Roman" w:hAnsi="Times New Roman" w:cs="Times New Roman" w:hint="default"/>
      </w:rPr>
    </w:lvl>
    <w:lvl w:ilvl="1" w:tplc="04270003" w:tentative="1">
      <w:start w:val="1"/>
      <w:numFmt w:val="bullet"/>
      <w:lvlText w:val="o"/>
      <w:lvlJc w:val="left"/>
      <w:pPr>
        <w:tabs>
          <w:tab w:val="num" w:pos="1260"/>
        </w:tabs>
        <w:ind w:left="1260" w:hanging="360"/>
      </w:pPr>
      <w:rPr>
        <w:rFonts w:ascii="Courier New" w:hAnsi="Courier New" w:cs="Courier New" w:hint="default"/>
      </w:rPr>
    </w:lvl>
    <w:lvl w:ilvl="2" w:tplc="04270005" w:tentative="1">
      <w:start w:val="1"/>
      <w:numFmt w:val="bullet"/>
      <w:lvlText w:val=""/>
      <w:lvlJc w:val="left"/>
      <w:pPr>
        <w:tabs>
          <w:tab w:val="num" w:pos="1980"/>
        </w:tabs>
        <w:ind w:left="1980" w:hanging="360"/>
      </w:pPr>
      <w:rPr>
        <w:rFonts w:ascii="Wingdings" w:hAnsi="Wingdings" w:hint="default"/>
      </w:rPr>
    </w:lvl>
    <w:lvl w:ilvl="3" w:tplc="04270001" w:tentative="1">
      <w:start w:val="1"/>
      <w:numFmt w:val="bullet"/>
      <w:lvlText w:val=""/>
      <w:lvlJc w:val="left"/>
      <w:pPr>
        <w:tabs>
          <w:tab w:val="num" w:pos="2700"/>
        </w:tabs>
        <w:ind w:left="2700" w:hanging="360"/>
      </w:pPr>
      <w:rPr>
        <w:rFonts w:ascii="Symbol" w:hAnsi="Symbol" w:hint="default"/>
      </w:rPr>
    </w:lvl>
    <w:lvl w:ilvl="4" w:tplc="04270003" w:tentative="1">
      <w:start w:val="1"/>
      <w:numFmt w:val="bullet"/>
      <w:lvlText w:val="o"/>
      <w:lvlJc w:val="left"/>
      <w:pPr>
        <w:tabs>
          <w:tab w:val="num" w:pos="3420"/>
        </w:tabs>
        <w:ind w:left="3420" w:hanging="360"/>
      </w:pPr>
      <w:rPr>
        <w:rFonts w:ascii="Courier New" w:hAnsi="Courier New" w:cs="Courier New" w:hint="default"/>
      </w:rPr>
    </w:lvl>
    <w:lvl w:ilvl="5" w:tplc="04270005" w:tentative="1">
      <w:start w:val="1"/>
      <w:numFmt w:val="bullet"/>
      <w:lvlText w:val=""/>
      <w:lvlJc w:val="left"/>
      <w:pPr>
        <w:tabs>
          <w:tab w:val="num" w:pos="4140"/>
        </w:tabs>
        <w:ind w:left="4140" w:hanging="360"/>
      </w:pPr>
      <w:rPr>
        <w:rFonts w:ascii="Wingdings" w:hAnsi="Wingdings" w:hint="default"/>
      </w:rPr>
    </w:lvl>
    <w:lvl w:ilvl="6" w:tplc="04270001" w:tentative="1">
      <w:start w:val="1"/>
      <w:numFmt w:val="bullet"/>
      <w:lvlText w:val=""/>
      <w:lvlJc w:val="left"/>
      <w:pPr>
        <w:tabs>
          <w:tab w:val="num" w:pos="4860"/>
        </w:tabs>
        <w:ind w:left="4860" w:hanging="360"/>
      </w:pPr>
      <w:rPr>
        <w:rFonts w:ascii="Symbol" w:hAnsi="Symbol" w:hint="default"/>
      </w:rPr>
    </w:lvl>
    <w:lvl w:ilvl="7" w:tplc="04270003" w:tentative="1">
      <w:start w:val="1"/>
      <w:numFmt w:val="bullet"/>
      <w:lvlText w:val="o"/>
      <w:lvlJc w:val="left"/>
      <w:pPr>
        <w:tabs>
          <w:tab w:val="num" w:pos="5580"/>
        </w:tabs>
        <w:ind w:left="5580" w:hanging="360"/>
      </w:pPr>
      <w:rPr>
        <w:rFonts w:ascii="Courier New" w:hAnsi="Courier New" w:cs="Courier New" w:hint="default"/>
      </w:rPr>
    </w:lvl>
    <w:lvl w:ilvl="8" w:tplc="04270005" w:tentative="1">
      <w:start w:val="1"/>
      <w:numFmt w:val="bullet"/>
      <w:lvlText w:val=""/>
      <w:lvlJc w:val="left"/>
      <w:pPr>
        <w:tabs>
          <w:tab w:val="num" w:pos="6300"/>
        </w:tabs>
        <w:ind w:left="6300" w:hanging="360"/>
      </w:pPr>
      <w:rPr>
        <w:rFonts w:ascii="Wingdings" w:hAnsi="Wingdings" w:hint="default"/>
      </w:rPr>
    </w:lvl>
  </w:abstractNum>
  <w:abstractNum w:abstractNumId="13">
    <w:nsid w:val="4D881F56"/>
    <w:multiLevelType w:val="hybridMultilevel"/>
    <w:tmpl w:val="C3AAE6FC"/>
    <w:lvl w:ilvl="0" w:tplc="04090005">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4">
    <w:nsid w:val="57063DE3"/>
    <w:multiLevelType w:val="hybridMultilevel"/>
    <w:tmpl w:val="C0D6538A"/>
    <w:lvl w:ilvl="0" w:tplc="04090005">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5">
    <w:nsid w:val="57C60C93"/>
    <w:multiLevelType w:val="hybridMultilevel"/>
    <w:tmpl w:val="27006D9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nsid w:val="5B9C292E"/>
    <w:multiLevelType w:val="hybridMultilevel"/>
    <w:tmpl w:val="E4C8707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nsid w:val="66161F13"/>
    <w:multiLevelType w:val="hybridMultilevel"/>
    <w:tmpl w:val="B90E0794"/>
    <w:lvl w:ilvl="0" w:tplc="04090005">
      <w:start w:val="1"/>
      <w:numFmt w:val="bullet"/>
      <w:lvlText w:val=""/>
      <w:lvlJc w:val="left"/>
      <w:pPr>
        <w:tabs>
          <w:tab w:val="num" w:pos="720"/>
        </w:tabs>
        <w:ind w:left="720" w:hanging="360"/>
      </w:pPr>
      <w:rPr>
        <w:rFonts w:ascii="Wingdings" w:hAnsi="Wingdings"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8">
    <w:nsid w:val="6A1866E5"/>
    <w:multiLevelType w:val="hybridMultilevel"/>
    <w:tmpl w:val="E4C8707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nsid w:val="718B282B"/>
    <w:multiLevelType w:val="hybridMultilevel"/>
    <w:tmpl w:val="435C7078"/>
    <w:lvl w:ilvl="0" w:tplc="04090001">
      <w:start w:val="1"/>
      <w:numFmt w:val="bullet"/>
      <w:lvlText w:val=""/>
      <w:lvlJc w:val="left"/>
      <w:pPr>
        <w:tabs>
          <w:tab w:val="num" w:pos="890"/>
        </w:tabs>
        <w:ind w:left="890" w:hanging="360"/>
      </w:pPr>
      <w:rPr>
        <w:rFonts w:ascii="Symbol" w:hAnsi="Symbol" w:hint="default"/>
      </w:rPr>
    </w:lvl>
    <w:lvl w:ilvl="1" w:tplc="04270003" w:tentative="1">
      <w:start w:val="1"/>
      <w:numFmt w:val="bullet"/>
      <w:lvlText w:val="o"/>
      <w:lvlJc w:val="left"/>
      <w:pPr>
        <w:tabs>
          <w:tab w:val="num" w:pos="1610"/>
        </w:tabs>
        <w:ind w:left="1610" w:hanging="360"/>
      </w:pPr>
      <w:rPr>
        <w:rFonts w:ascii="Courier New" w:hAnsi="Courier New" w:cs="Courier New" w:hint="default"/>
      </w:rPr>
    </w:lvl>
    <w:lvl w:ilvl="2" w:tplc="04270005" w:tentative="1">
      <w:start w:val="1"/>
      <w:numFmt w:val="bullet"/>
      <w:lvlText w:val=""/>
      <w:lvlJc w:val="left"/>
      <w:pPr>
        <w:tabs>
          <w:tab w:val="num" w:pos="2330"/>
        </w:tabs>
        <w:ind w:left="2330" w:hanging="360"/>
      </w:pPr>
      <w:rPr>
        <w:rFonts w:ascii="Wingdings" w:hAnsi="Wingdings" w:hint="default"/>
      </w:rPr>
    </w:lvl>
    <w:lvl w:ilvl="3" w:tplc="04270001" w:tentative="1">
      <w:start w:val="1"/>
      <w:numFmt w:val="bullet"/>
      <w:lvlText w:val=""/>
      <w:lvlJc w:val="left"/>
      <w:pPr>
        <w:tabs>
          <w:tab w:val="num" w:pos="3050"/>
        </w:tabs>
        <w:ind w:left="3050" w:hanging="360"/>
      </w:pPr>
      <w:rPr>
        <w:rFonts w:ascii="Symbol" w:hAnsi="Symbol" w:hint="default"/>
      </w:rPr>
    </w:lvl>
    <w:lvl w:ilvl="4" w:tplc="04270003" w:tentative="1">
      <w:start w:val="1"/>
      <w:numFmt w:val="bullet"/>
      <w:lvlText w:val="o"/>
      <w:lvlJc w:val="left"/>
      <w:pPr>
        <w:tabs>
          <w:tab w:val="num" w:pos="3770"/>
        </w:tabs>
        <w:ind w:left="3770" w:hanging="360"/>
      </w:pPr>
      <w:rPr>
        <w:rFonts w:ascii="Courier New" w:hAnsi="Courier New" w:cs="Courier New" w:hint="default"/>
      </w:rPr>
    </w:lvl>
    <w:lvl w:ilvl="5" w:tplc="04270005" w:tentative="1">
      <w:start w:val="1"/>
      <w:numFmt w:val="bullet"/>
      <w:lvlText w:val=""/>
      <w:lvlJc w:val="left"/>
      <w:pPr>
        <w:tabs>
          <w:tab w:val="num" w:pos="4490"/>
        </w:tabs>
        <w:ind w:left="4490" w:hanging="360"/>
      </w:pPr>
      <w:rPr>
        <w:rFonts w:ascii="Wingdings" w:hAnsi="Wingdings" w:hint="default"/>
      </w:rPr>
    </w:lvl>
    <w:lvl w:ilvl="6" w:tplc="04270001" w:tentative="1">
      <w:start w:val="1"/>
      <w:numFmt w:val="bullet"/>
      <w:lvlText w:val=""/>
      <w:lvlJc w:val="left"/>
      <w:pPr>
        <w:tabs>
          <w:tab w:val="num" w:pos="5210"/>
        </w:tabs>
        <w:ind w:left="5210" w:hanging="360"/>
      </w:pPr>
      <w:rPr>
        <w:rFonts w:ascii="Symbol" w:hAnsi="Symbol" w:hint="default"/>
      </w:rPr>
    </w:lvl>
    <w:lvl w:ilvl="7" w:tplc="04270003" w:tentative="1">
      <w:start w:val="1"/>
      <w:numFmt w:val="bullet"/>
      <w:lvlText w:val="o"/>
      <w:lvlJc w:val="left"/>
      <w:pPr>
        <w:tabs>
          <w:tab w:val="num" w:pos="5930"/>
        </w:tabs>
        <w:ind w:left="5930" w:hanging="360"/>
      </w:pPr>
      <w:rPr>
        <w:rFonts w:ascii="Courier New" w:hAnsi="Courier New" w:cs="Courier New" w:hint="default"/>
      </w:rPr>
    </w:lvl>
    <w:lvl w:ilvl="8" w:tplc="04270005" w:tentative="1">
      <w:start w:val="1"/>
      <w:numFmt w:val="bullet"/>
      <w:lvlText w:val=""/>
      <w:lvlJc w:val="left"/>
      <w:pPr>
        <w:tabs>
          <w:tab w:val="num" w:pos="6650"/>
        </w:tabs>
        <w:ind w:left="6650" w:hanging="360"/>
      </w:pPr>
      <w:rPr>
        <w:rFonts w:ascii="Wingdings" w:hAnsi="Wingdings" w:hint="default"/>
      </w:rPr>
    </w:lvl>
  </w:abstractNum>
  <w:abstractNum w:abstractNumId="20">
    <w:nsid w:val="71BF7B0D"/>
    <w:multiLevelType w:val="hybridMultilevel"/>
    <w:tmpl w:val="DEAAB00C"/>
    <w:lvl w:ilvl="0" w:tplc="F964148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nsid w:val="74523A07"/>
    <w:multiLevelType w:val="hybridMultilevel"/>
    <w:tmpl w:val="B4884AF0"/>
    <w:lvl w:ilvl="0" w:tplc="87A2C5CE">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nsid w:val="74B75FED"/>
    <w:multiLevelType w:val="hybridMultilevel"/>
    <w:tmpl w:val="A46896CE"/>
    <w:lvl w:ilvl="0" w:tplc="E03639E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2"/>
  </w:num>
  <w:num w:numId="2">
    <w:abstractNumId w:val="5"/>
  </w:num>
  <w:num w:numId="3">
    <w:abstractNumId w:val="11"/>
  </w:num>
  <w:num w:numId="4">
    <w:abstractNumId w:val="19"/>
  </w:num>
  <w:num w:numId="5">
    <w:abstractNumId w:val="10"/>
  </w:num>
  <w:num w:numId="6">
    <w:abstractNumId w:val="17"/>
  </w:num>
  <w:num w:numId="7">
    <w:abstractNumId w:val="20"/>
  </w:num>
  <w:num w:numId="8">
    <w:abstractNumId w:val="14"/>
  </w:num>
  <w:num w:numId="9">
    <w:abstractNumId w:val="1"/>
  </w:num>
  <w:num w:numId="10">
    <w:abstractNumId w:val="13"/>
  </w:num>
  <w:num w:numId="11">
    <w:abstractNumId w:val="12"/>
  </w:num>
  <w:num w:numId="12">
    <w:abstractNumId w:val="8"/>
  </w:num>
  <w:num w:numId="13">
    <w:abstractNumId w:val="21"/>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4"/>
  </w:num>
  <w:num w:numId="17">
    <w:abstractNumId w:val="15"/>
  </w:num>
  <w:num w:numId="18">
    <w:abstractNumId w:val="3"/>
  </w:num>
  <w:num w:numId="19">
    <w:abstractNumId w:val="9"/>
  </w:num>
  <w:num w:numId="20">
    <w:abstractNumId w:val="6"/>
  </w:num>
  <w:num w:numId="21">
    <w:abstractNumId w:val="16"/>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A2"/>
    <w:rsid w:val="000651E5"/>
    <w:rsid w:val="000714C1"/>
    <w:rsid w:val="00084887"/>
    <w:rsid w:val="00086E17"/>
    <w:rsid w:val="000931C3"/>
    <w:rsid w:val="000947F9"/>
    <w:rsid w:val="000A268D"/>
    <w:rsid w:val="000B43BE"/>
    <w:rsid w:val="000C0069"/>
    <w:rsid w:val="000C379C"/>
    <w:rsid w:val="000C621B"/>
    <w:rsid w:val="000C79C9"/>
    <w:rsid w:val="000C7BF2"/>
    <w:rsid w:val="000D0247"/>
    <w:rsid w:val="000D36AF"/>
    <w:rsid w:val="000D78F2"/>
    <w:rsid w:val="000E1FB5"/>
    <w:rsid w:val="000F375A"/>
    <w:rsid w:val="00104136"/>
    <w:rsid w:val="00132CB9"/>
    <w:rsid w:val="00132E4C"/>
    <w:rsid w:val="00134DCB"/>
    <w:rsid w:val="00135EE1"/>
    <w:rsid w:val="00140505"/>
    <w:rsid w:val="00140EBD"/>
    <w:rsid w:val="00154157"/>
    <w:rsid w:val="00171543"/>
    <w:rsid w:val="00196B91"/>
    <w:rsid w:val="001A3C45"/>
    <w:rsid w:val="001A53BC"/>
    <w:rsid w:val="001C7B60"/>
    <w:rsid w:val="001E63B5"/>
    <w:rsid w:val="001F08A9"/>
    <w:rsid w:val="001F5DF2"/>
    <w:rsid w:val="002036A6"/>
    <w:rsid w:val="00222E7E"/>
    <w:rsid w:val="002273E9"/>
    <w:rsid w:val="0024277E"/>
    <w:rsid w:val="0025562A"/>
    <w:rsid w:val="002629EB"/>
    <w:rsid w:val="002758FE"/>
    <w:rsid w:val="002768C8"/>
    <w:rsid w:val="002915C9"/>
    <w:rsid w:val="00291CD6"/>
    <w:rsid w:val="0029577F"/>
    <w:rsid w:val="002A0E20"/>
    <w:rsid w:val="002A70B1"/>
    <w:rsid w:val="002B4D21"/>
    <w:rsid w:val="002B6466"/>
    <w:rsid w:val="002C1EF0"/>
    <w:rsid w:val="002C497D"/>
    <w:rsid w:val="002D2128"/>
    <w:rsid w:val="002D5F92"/>
    <w:rsid w:val="002F1173"/>
    <w:rsid w:val="00311A04"/>
    <w:rsid w:val="003151FF"/>
    <w:rsid w:val="003177CD"/>
    <w:rsid w:val="003217E5"/>
    <w:rsid w:val="00327118"/>
    <w:rsid w:val="00330EA6"/>
    <w:rsid w:val="00341ABD"/>
    <w:rsid w:val="00345401"/>
    <w:rsid w:val="00357608"/>
    <w:rsid w:val="00360840"/>
    <w:rsid w:val="0036237A"/>
    <w:rsid w:val="003908FD"/>
    <w:rsid w:val="00394518"/>
    <w:rsid w:val="003A4785"/>
    <w:rsid w:val="003A70A2"/>
    <w:rsid w:val="003B36F4"/>
    <w:rsid w:val="003B626F"/>
    <w:rsid w:val="003F5BAD"/>
    <w:rsid w:val="003F6A4B"/>
    <w:rsid w:val="004012F1"/>
    <w:rsid w:val="00415E2D"/>
    <w:rsid w:val="004219D4"/>
    <w:rsid w:val="00434EA8"/>
    <w:rsid w:val="00454D31"/>
    <w:rsid w:val="004646ED"/>
    <w:rsid w:val="004675DB"/>
    <w:rsid w:val="00471E13"/>
    <w:rsid w:val="0048383E"/>
    <w:rsid w:val="004B46D9"/>
    <w:rsid w:val="004C3C5A"/>
    <w:rsid w:val="004D2459"/>
    <w:rsid w:val="004E2B52"/>
    <w:rsid w:val="004F4476"/>
    <w:rsid w:val="004F56AB"/>
    <w:rsid w:val="005010C3"/>
    <w:rsid w:val="00502421"/>
    <w:rsid w:val="005062DD"/>
    <w:rsid w:val="005130F5"/>
    <w:rsid w:val="00540E98"/>
    <w:rsid w:val="0054363A"/>
    <w:rsid w:val="00560744"/>
    <w:rsid w:val="00570514"/>
    <w:rsid w:val="00576B73"/>
    <w:rsid w:val="005923F2"/>
    <w:rsid w:val="005A3660"/>
    <w:rsid w:val="005B1B96"/>
    <w:rsid w:val="005B2DE3"/>
    <w:rsid w:val="005B43CA"/>
    <w:rsid w:val="005D67CB"/>
    <w:rsid w:val="005E1BD8"/>
    <w:rsid w:val="005F665D"/>
    <w:rsid w:val="00602058"/>
    <w:rsid w:val="00617D40"/>
    <w:rsid w:val="006246B1"/>
    <w:rsid w:val="006357A5"/>
    <w:rsid w:val="00642DDC"/>
    <w:rsid w:val="00654B74"/>
    <w:rsid w:val="00657635"/>
    <w:rsid w:val="00673D1A"/>
    <w:rsid w:val="006865E6"/>
    <w:rsid w:val="00687D55"/>
    <w:rsid w:val="0069401B"/>
    <w:rsid w:val="006955AB"/>
    <w:rsid w:val="00697E4C"/>
    <w:rsid w:val="006A59B3"/>
    <w:rsid w:val="006B708B"/>
    <w:rsid w:val="006E4BFB"/>
    <w:rsid w:val="006F5E75"/>
    <w:rsid w:val="00714BCD"/>
    <w:rsid w:val="007403E2"/>
    <w:rsid w:val="0074722E"/>
    <w:rsid w:val="007551D0"/>
    <w:rsid w:val="00764AF1"/>
    <w:rsid w:val="00767FE9"/>
    <w:rsid w:val="007745BE"/>
    <w:rsid w:val="00776A68"/>
    <w:rsid w:val="0078242F"/>
    <w:rsid w:val="00783DE5"/>
    <w:rsid w:val="007A483C"/>
    <w:rsid w:val="007A63C9"/>
    <w:rsid w:val="007A6A79"/>
    <w:rsid w:val="007B1161"/>
    <w:rsid w:val="007B5072"/>
    <w:rsid w:val="007C49AF"/>
    <w:rsid w:val="007C7CEA"/>
    <w:rsid w:val="007D1F0B"/>
    <w:rsid w:val="007E2F2B"/>
    <w:rsid w:val="007E3A16"/>
    <w:rsid w:val="007E4B2C"/>
    <w:rsid w:val="0081015C"/>
    <w:rsid w:val="00861EC0"/>
    <w:rsid w:val="008629E4"/>
    <w:rsid w:val="0086464C"/>
    <w:rsid w:val="0086606C"/>
    <w:rsid w:val="00885D7E"/>
    <w:rsid w:val="008938EF"/>
    <w:rsid w:val="008B56C8"/>
    <w:rsid w:val="008D1156"/>
    <w:rsid w:val="008D67DA"/>
    <w:rsid w:val="008D7794"/>
    <w:rsid w:val="008E1A73"/>
    <w:rsid w:val="009060DB"/>
    <w:rsid w:val="00920E91"/>
    <w:rsid w:val="00925E52"/>
    <w:rsid w:val="00930896"/>
    <w:rsid w:val="00932BFC"/>
    <w:rsid w:val="009406E4"/>
    <w:rsid w:val="00941902"/>
    <w:rsid w:val="009422ED"/>
    <w:rsid w:val="00950BD7"/>
    <w:rsid w:val="0095352D"/>
    <w:rsid w:val="00957CCF"/>
    <w:rsid w:val="009709BE"/>
    <w:rsid w:val="009810B3"/>
    <w:rsid w:val="00981562"/>
    <w:rsid w:val="00990089"/>
    <w:rsid w:val="009A37EB"/>
    <w:rsid w:val="009A3A79"/>
    <w:rsid w:val="009B58F9"/>
    <w:rsid w:val="009B7E39"/>
    <w:rsid w:val="009C1D4F"/>
    <w:rsid w:val="009C24D2"/>
    <w:rsid w:val="009C6767"/>
    <w:rsid w:val="009D2C0A"/>
    <w:rsid w:val="009E4107"/>
    <w:rsid w:val="009E7140"/>
    <w:rsid w:val="009F16D4"/>
    <w:rsid w:val="009F33CB"/>
    <w:rsid w:val="009F7834"/>
    <w:rsid w:val="00A416E5"/>
    <w:rsid w:val="00A50A47"/>
    <w:rsid w:val="00A51221"/>
    <w:rsid w:val="00A77FE3"/>
    <w:rsid w:val="00A85BD9"/>
    <w:rsid w:val="00AA3E3C"/>
    <w:rsid w:val="00AA4432"/>
    <w:rsid w:val="00AB2256"/>
    <w:rsid w:val="00AB552F"/>
    <w:rsid w:val="00AC4038"/>
    <w:rsid w:val="00AD2200"/>
    <w:rsid w:val="00AE2F5D"/>
    <w:rsid w:val="00AE57C0"/>
    <w:rsid w:val="00AE6A64"/>
    <w:rsid w:val="00AF1562"/>
    <w:rsid w:val="00AF45B5"/>
    <w:rsid w:val="00AF60E9"/>
    <w:rsid w:val="00B06BFC"/>
    <w:rsid w:val="00B1218C"/>
    <w:rsid w:val="00B144DC"/>
    <w:rsid w:val="00B179C3"/>
    <w:rsid w:val="00B552EB"/>
    <w:rsid w:val="00B56BD4"/>
    <w:rsid w:val="00B62C02"/>
    <w:rsid w:val="00B74497"/>
    <w:rsid w:val="00B80302"/>
    <w:rsid w:val="00B80A7A"/>
    <w:rsid w:val="00BA2A28"/>
    <w:rsid w:val="00BA4158"/>
    <w:rsid w:val="00BA4895"/>
    <w:rsid w:val="00BE1ACF"/>
    <w:rsid w:val="00BF08A3"/>
    <w:rsid w:val="00C1244A"/>
    <w:rsid w:val="00C23A5C"/>
    <w:rsid w:val="00C2622A"/>
    <w:rsid w:val="00C418B7"/>
    <w:rsid w:val="00C6555F"/>
    <w:rsid w:val="00C67EB1"/>
    <w:rsid w:val="00C74B7D"/>
    <w:rsid w:val="00C76509"/>
    <w:rsid w:val="00C803C7"/>
    <w:rsid w:val="00C87716"/>
    <w:rsid w:val="00C97182"/>
    <w:rsid w:val="00CA0D81"/>
    <w:rsid w:val="00CA3D8A"/>
    <w:rsid w:val="00CB557E"/>
    <w:rsid w:val="00CD3851"/>
    <w:rsid w:val="00CE7C5A"/>
    <w:rsid w:val="00CF4F5F"/>
    <w:rsid w:val="00D01C40"/>
    <w:rsid w:val="00D07DDF"/>
    <w:rsid w:val="00D23634"/>
    <w:rsid w:val="00D237FD"/>
    <w:rsid w:val="00D26EE3"/>
    <w:rsid w:val="00D32364"/>
    <w:rsid w:val="00D333A8"/>
    <w:rsid w:val="00D54194"/>
    <w:rsid w:val="00D64EB9"/>
    <w:rsid w:val="00D82843"/>
    <w:rsid w:val="00D91A0D"/>
    <w:rsid w:val="00D976D0"/>
    <w:rsid w:val="00DB3743"/>
    <w:rsid w:val="00DC3F89"/>
    <w:rsid w:val="00DE2156"/>
    <w:rsid w:val="00DF593E"/>
    <w:rsid w:val="00E0153F"/>
    <w:rsid w:val="00E06211"/>
    <w:rsid w:val="00E07021"/>
    <w:rsid w:val="00E1703B"/>
    <w:rsid w:val="00E3365A"/>
    <w:rsid w:val="00E428E1"/>
    <w:rsid w:val="00E45A20"/>
    <w:rsid w:val="00E53E1A"/>
    <w:rsid w:val="00E61991"/>
    <w:rsid w:val="00E63614"/>
    <w:rsid w:val="00E86253"/>
    <w:rsid w:val="00E91160"/>
    <w:rsid w:val="00EA3748"/>
    <w:rsid w:val="00EA425E"/>
    <w:rsid w:val="00EA4DE4"/>
    <w:rsid w:val="00EA7AC4"/>
    <w:rsid w:val="00EB29C4"/>
    <w:rsid w:val="00EB6C3B"/>
    <w:rsid w:val="00EC5B23"/>
    <w:rsid w:val="00ED652E"/>
    <w:rsid w:val="00EE2911"/>
    <w:rsid w:val="00EE3CA7"/>
    <w:rsid w:val="00EE6274"/>
    <w:rsid w:val="00EE6EA9"/>
    <w:rsid w:val="00F02FE9"/>
    <w:rsid w:val="00F05465"/>
    <w:rsid w:val="00F20CB3"/>
    <w:rsid w:val="00F223BA"/>
    <w:rsid w:val="00F359A6"/>
    <w:rsid w:val="00F44E0F"/>
    <w:rsid w:val="00F459D4"/>
    <w:rsid w:val="00F46AE5"/>
    <w:rsid w:val="00F5740A"/>
    <w:rsid w:val="00F579C7"/>
    <w:rsid w:val="00F61E5E"/>
    <w:rsid w:val="00F67268"/>
    <w:rsid w:val="00F76D63"/>
    <w:rsid w:val="00F81EBA"/>
    <w:rsid w:val="00F86807"/>
    <w:rsid w:val="00F953D1"/>
    <w:rsid w:val="00FB3272"/>
    <w:rsid w:val="00FC1E54"/>
    <w:rsid w:val="00FC5C26"/>
    <w:rsid w:val="00FC7147"/>
    <w:rsid w:val="00FD0A80"/>
    <w:rsid w:val="00FD0C4B"/>
    <w:rsid w:val="00FE2ADA"/>
    <w:rsid w:val="00FF2905"/>
    <w:rsid w:val="00FF4892"/>
    <w:rsid w:val="00FF73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0A2"/>
    <w:rPr>
      <w:sz w:val="24"/>
      <w:szCs w:val="24"/>
      <w:lang w:val="en-GB" w:eastAsia="hu-HU"/>
    </w:rPr>
  </w:style>
  <w:style w:type="paragraph" w:styleId="Heading2">
    <w:name w:val="heading 2"/>
    <w:basedOn w:val="Normal"/>
    <w:next w:val="Normal"/>
    <w:qFormat/>
    <w:rsid w:val="003A70A2"/>
    <w:pPr>
      <w:keepNext/>
      <w:autoSpaceDE w:val="0"/>
      <w:autoSpaceDN w:val="0"/>
      <w:adjustRightInd w:val="0"/>
      <w:jc w:val="both"/>
      <w:outlineLvl w:val="1"/>
    </w:pPr>
    <w:rPr>
      <w:b/>
      <w:bCs/>
      <w:szCs w:val="28"/>
    </w:rPr>
  </w:style>
  <w:style w:type="paragraph" w:styleId="Heading4">
    <w:name w:val="heading 4"/>
    <w:basedOn w:val="Normal"/>
    <w:next w:val="Normal"/>
    <w:qFormat/>
    <w:rsid w:val="003A70A2"/>
    <w:pPr>
      <w:keepNext/>
      <w:widowControl w:val="0"/>
      <w:autoSpaceDE w:val="0"/>
      <w:autoSpaceDN w:val="0"/>
      <w:adjustRightInd w:val="0"/>
      <w:jc w:val="center"/>
      <w:outlineLvl w:val="3"/>
    </w:pPr>
    <w:rPr>
      <w:b/>
      <w:bCs/>
      <w:sz w:val="28"/>
    </w:rPr>
  </w:style>
  <w:style w:type="paragraph" w:styleId="Heading5">
    <w:name w:val="heading 5"/>
    <w:basedOn w:val="Normal"/>
    <w:next w:val="Normal"/>
    <w:qFormat/>
    <w:rsid w:val="003A70A2"/>
    <w:pPr>
      <w:keepNext/>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3A70A2"/>
    <w:pPr>
      <w:autoSpaceDE w:val="0"/>
      <w:autoSpaceDN w:val="0"/>
      <w:adjustRightInd w:val="0"/>
      <w:jc w:val="center"/>
    </w:pPr>
    <w:rPr>
      <w:b/>
      <w:bCs/>
      <w:i/>
      <w:iCs/>
      <w:sz w:val="40"/>
    </w:rPr>
  </w:style>
  <w:style w:type="paragraph" w:styleId="Footer">
    <w:name w:val="footer"/>
    <w:basedOn w:val="Normal"/>
    <w:rsid w:val="003A70A2"/>
    <w:pPr>
      <w:tabs>
        <w:tab w:val="center" w:pos="4536"/>
        <w:tab w:val="right" w:pos="9072"/>
      </w:tabs>
    </w:pPr>
  </w:style>
  <w:style w:type="character" w:styleId="PageNumber">
    <w:name w:val="page number"/>
    <w:basedOn w:val="DefaultParagraphFont"/>
    <w:uiPriority w:val="99"/>
    <w:rsid w:val="003A70A2"/>
  </w:style>
  <w:style w:type="paragraph" w:customStyle="1" w:styleId="Notifbody">
    <w:name w:val="Notif body"/>
    <w:basedOn w:val="Normal"/>
    <w:rsid w:val="003A70A2"/>
    <w:pPr>
      <w:spacing w:after="120"/>
      <w:jc w:val="both"/>
    </w:pPr>
    <w:rPr>
      <w:szCs w:val="20"/>
    </w:rPr>
  </w:style>
  <w:style w:type="paragraph" w:customStyle="1" w:styleId="Notifqu">
    <w:name w:val="Notif_qu"/>
    <w:basedOn w:val="Notifbody"/>
    <w:rsid w:val="003A70A2"/>
    <w:pPr>
      <w:keepNext/>
      <w:ind w:left="624" w:hanging="454"/>
      <w:jc w:val="left"/>
    </w:pPr>
    <w:rPr>
      <w:i/>
    </w:rPr>
  </w:style>
  <w:style w:type="paragraph" w:customStyle="1" w:styleId="ParaNum">
    <w:name w:val="ParaNum"/>
    <w:basedOn w:val="Normal"/>
    <w:rsid w:val="003A70A2"/>
    <w:pPr>
      <w:widowControl w:val="0"/>
      <w:tabs>
        <w:tab w:val="left" w:pos="1440"/>
      </w:tabs>
      <w:spacing w:after="240"/>
      <w:jc w:val="both"/>
    </w:pPr>
    <w:rPr>
      <w:snapToGrid w:val="0"/>
      <w:kern w:val="28"/>
      <w:szCs w:val="20"/>
      <w:lang w:val="en-US"/>
    </w:rPr>
  </w:style>
  <w:style w:type="paragraph" w:styleId="BodyText">
    <w:name w:val="Body Text"/>
    <w:aliases w:val="Body"/>
    <w:basedOn w:val="Normal"/>
    <w:rsid w:val="00D32364"/>
    <w:pPr>
      <w:spacing w:after="120"/>
    </w:pPr>
    <w:rPr>
      <w:lang w:eastAsia="en-US"/>
    </w:rPr>
  </w:style>
  <w:style w:type="paragraph" w:styleId="NormalWeb">
    <w:name w:val="Normal (Web)"/>
    <w:basedOn w:val="Normal"/>
    <w:rsid w:val="00D91A0D"/>
    <w:pPr>
      <w:spacing w:before="150" w:after="150"/>
      <w:ind w:left="675" w:right="525"/>
    </w:pPr>
    <w:rPr>
      <w:sz w:val="19"/>
      <w:szCs w:val="19"/>
      <w:lang w:val="lt-LT" w:eastAsia="lt-LT"/>
    </w:rPr>
  </w:style>
  <w:style w:type="character" w:styleId="Strong">
    <w:name w:val="Strong"/>
    <w:basedOn w:val="DefaultParagraphFont"/>
    <w:qFormat/>
    <w:rsid w:val="00D91A0D"/>
    <w:rPr>
      <w:b/>
      <w:bCs/>
    </w:rPr>
  </w:style>
  <w:style w:type="character" w:styleId="Emphasis">
    <w:name w:val="Emphasis"/>
    <w:basedOn w:val="DefaultParagraphFont"/>
    <w:qFormat/>
    <w:rsid w:val="001E63B5"/>
    <w:rPr>
      <w:b/>
      <w:bCs/>
      <w:i w:val="0"/>
      <w:iCs w:val="0"/>
    </w:rPr>
  </w:style>
  <w:style w:type="paragraph" w:styleId="BodyTextIndent">
    <w:name w:val="Body Text Indent"/>
    <w:basedOn w:val="Normal"/>
    <w:rsid w:val="00673D1A"/>
    <w:pPr>
      <w:spacing w:after="120"/>
      <w:ind w:left="283"/>
    </w:pPr>
  </w:style>
  <w:style w:type="paragraph" w:styleId="DocumentMap">
    <w:name w:val="Document Map"/>
    <w:basedOn w:val="Normal"/>
    <w:semiHidden/>
    <w:rsid w:val="005D67CB"/>
    <w:pPr>
      <w:shd w:val="clear" w:color="auto" w:fill="000080"/>
    </w:pPr>
    <w:rPr>
      <w:rFonts w:ascii="Tahoma" w:hAnsi="Tahoma" w:cs="Tahoma"/>
      <w:sz w:val="20"/>
      <w:szCs w:val="20"/>
    </w:rPr>
  </w:style>
  <w:style w:type="character" w:styleId="CommentReference">
    <w:name w:val="annotation reference"/>
    <w:basedOn w:val="DefaultParagraphFont"/>
    <w:semiHidden/>
    <w:rsid w:val="0048383E"/>
    <w:rPr>
      <w:sz w:val="16"/>
      <w:szCs w:val="16"/>
    </w:rPr>
  </w:style>
  <w:style w:type="paragraph" w:styleId="CommentText">
    <w:name w:val="annotation text"/>
    <w:basedOn w:val="Normal"/>
    <w:semiHidden/>
    <w:rsid w:val="0048383E"/>
    <w:rPr>
      <w:sz w:val="20"/>
      <w:szCs w:val="20"/>
    </w:rPr>
  </w:style>
  <w:style w:type="paragraph" w:styleId="CommentSubject">
    <w:name w:val="annotation subject"/>
    <w:basedOn w:val="CommentText"/>
    <w:next w:val="CommentText"/>
    <w:semiHidden/>
    <w:rsid w:val="0048383E"/>
    <w:rPr>
      <w:b/>
      <w:bCs/>
    </w:rPr>
  </w:style>
  <w:style w:type="paragraph" w:styleId="BalloonText">
    <w:name w:val="Balloon Text"/>
    <w:basedOn w:val="Normal"/>
    <w:semiHidden/>
    <w:rsid w:val="0048383E"/>
    <w:rPr>
      <w:rFonts w:ascii="Tahoma" w:hAnsi="Tahoma" w:cs="Tahoma"/>
      <w:sz w:val="16"/>
      <w:szCs w:val="16"/>
    </w:rPr>
  </w:style>
  <w:style w:type="paragraph" w:styleId="BodyText2">
    <w:name w:val="Body Text 2"/>
    <w:basedOn w:val="Normal"/>
    <w:link w:val="BodyText2Char"/>
    <w:rsid w:val="00E3365A"/>
    <w:pPr>
      <w:spacing w:after="120" w:line="480" w:lineRule="auto"/>
    </w:pPr>
  </w:style>
  <w:style w:type="character" w:customStyle="1" w:styleId="BodyText2Char">
    <w:name w:val="Body Text 2 Char"/>
    <w:basedOn w:val="DefaultParagraphFont"/>
    <w:link w:val="BodyText2"/>
    <w:rsid w:val="00E3365A"/>
    <w:rPr>
      <w:sz w:val="24"/>
      <w:szCs w:val="24"/>
      <w:lang w:val="en-GB" w:eastAsia="hu-HU"/>
    </w:rPr>
  </w:style>
  <w:style w:type="paragraph" w:customStyle="1" w:styleId="Headiding2">
    <w:name w:val="Headiding2"/>
    <w:basedOn w:val="Normal"/>
    <w:rsid w:val="004C3C5A"/>
    <w:rPr>
      <w:rFonts w:eastAsiaTheme="minorHAnsi"/>
      <w:lang w:val="lt-LT"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70A2"/>
    <w:rPr>
      <w:sz w:val="24"/>
      <w:szCs w:val="24"/>
      <w:lang w:val="en-GB" w:eastAsia="hu-HU"/>
    </w:rPr>
  </w:style>
  <w:style w:type="paragraph" w:styleId="Heading2">
    <w:name w:val="heading 2"/>
    <w:basedOn w:val="Normal"/>
    <w:next w:val="Normal"/>
    <w:qFormat/>
    <w:rsid w:val="003A70A2"/>
    <w:pPr>
      <w:keepNext/>
      <w:autoSpaceDE w:val="0"/>
      <w:autoSpaceDN w:val="0"/>
      <w:adjustRightInd w:val="0"/>
      <w:jc w:val="both"/>
      <w:outlineLvl w:val="1"/>
    </w:pPr>
    <w:rPr>
      <w:b/>
      <w:bCs/>
      <w:szCs w:val="28"/>
    </w:rPr>
  </w:style>
  <w:style w:type="paragraph" w:styleId="Heading4">
    <w:name w:val="heading 4"/>
    <w:basedOn w:val="Normal"/>
    <w:next w:val="Normal"/>
    <w:qFormat/>
    <w:rsid w:val="003A70A2"/>
    <w:pPr>
      <w:keepNext/>
      <w:widowControl w:val="0"/>
      <w:autoSpaceDE w:val="0"/>
      <w:autoSpaceDN w:val="0"/>
      <w:adjustRightInd w:val="0"/>
      <w:jc w:val="center"/>
      <w:outlineLvl w:val="3"/>
    </w:pPr>
    <w:rPr>
      <w:b/>
      <w:bCs/>
      <w:sz w:val="28"/>
    </w:rPr>
  </w:style>
  <w:style w:type="paragraph" w:styleId="Heading5">
    <w:name w:val="heading 5"/>
    <w:basedOn w:val="Normal"/>
    <w:next w:val="Normal"/>
    <w:qFormat/>
    <w:rsid w:val="003A70A2"/>
    <w:pPr>
      <w:keepNext/>
      <w:outlineLvl w:val="4"/>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rsid w:val="003A70A2"/>
    <w:pPr>
      <w:autoSpaceDE w:val="0"/>
      <w:autoSpaceDN w:val="0"/>
      <w:adjustRightInd w:val="0"/>
      <w:jc w:val="center"/>
    </w:pPr>
    <w:rPr>
      <w:b/>
      <w:bCs/>
      <w:i/>
      <w:iCs/>
      <w:sz w:val="40"/>
    </w:rPr>
  </w:style>
  <w:style w:type="paragraph" w:styleId="Footer">
    <w:name w:val="footer"/>
    <w:basedOn w:val="Normal"/>
    <w:rsid w:val="003A70A2"/>
    <w:pPr>
      <w:tabs>
        <w:tab w:val="center" w:pos="4536"/>
        <w:tab w:val="right" w:pos="9072"/>
      </w:tabs>
    </w:pPr>
  </w:style>
  <w:style w:type="character" w:styleId="PageNumber">
    <w:name w:val="page number"/>
    <w:basedOn w:val="DefaultParagraphFont"/>
    <w:uiPriority w:val="99"/>
    <w:rsid w:val="003A70A2"/>
  </w:style>
  <w:style w:type="paragraph" w:customStyle="1" w:styleId="Notifbody">
    <w:name w:val="Notif body"/>
    <w:basedOn w:val="Normal"/>
    <w:rsid w:val="003A70A2"/>
    <w:pPr>
      <w:spacing w:after="120"/>
      <w:jc w:val="both"/>
    </w:pPr>
    <w:rPr>
      <w:szCs w:val="20"/>
    </w:rPr>
  </w:style>
  <w:style w:type="paragraph" w:customStyle="1" w:styleId="Notifqu">
    <w:name w:val="Notif_qu"/>
    <w:basedOn w:val="Notifbody"/>
    <w:rsid w:val="003A70A2"/>
    <w:pPr>
      <w:keepNext/>
      <w:ind w:left="624" w:hanging="454"/>
      <w:jc w:val="left"/>
    </w:pPr>
    <w:rPr>
      <w:i/>
    </w:rPr>
  </w:style>
  <w:style w:type="paragraph" w:customStyle="1" w:styleId="ParaNum">
    <w:name w:val="ParaNum"/>
    <w:basedOn w:val="Normal"/>
    <w:rsid w:val="003A70A2"/>
    <w:pPr>
      <w:widowControl w:val="0"/>
      <w:tabs>
        <w:tab w:val="left" w:pos="1440"/>
      </w:tabs>
      <w:spacing w:after="240"/>
      <w:jc w:val="both"/>
    </w:pPr>
    <w:rPr>
      <w:snapToGrid w:val="0"/>
      <w:kern w:val="28"/>
      <w:szCs w:val="20"/>
      <w:lang w:val="en-US"/>
    </w:rPr>
  </w:style>
  <w:style w:type="paragraph" w:styleId="BodyText">
    <w:name w:val="Body Text"/>
    <w:aliases w:val="Body"/>
    <w:basedOn w:val="Normal"/>
    <w:rsid w:val="00D32364"/>
    <w:pPr>
      <w:spacing w:after="120"/>
    </w:pPr>
    <w:rPr>
      <w:lang w:eastAsia="en-US"/>
    </w:rPr>
  </w:style>
  <w:style w:type="paragraph" w:styleId="NormalWeb">
    <w:name w:val="Normal (Web)"/>
    <w:basedOn w:val="Normal"/>
    <w:rsid w:val="00D91A0D"/>
    <w:pPr>
      <w:spacing w:before="150" w:after="150"/>
      <w:ind w:left="675" w:right="525"/>
    </w:pPr>
    <w:rPr>
      <w:sz w:val="19"/>
      <w:szCs w:val="19"/>
      <w:lang w:val="lt-LT" w:eastAsia="lt-LT"/>
    </w:rPr>
  </w:style>
  <w:style w:type="character" w:styleId="Strong">
    <w:name w:val="Strong"/>
    <w:basedOn w:val="DefaultParagraphFont"/>
    <w:qFormat/>
    <w:rsid w:val="00D91A0D"/>
    <w:rPr>
      <w:b/>
      <w:bCs/>
    </w:rPr>
  </w:style>
  <w:style w:type="character" w:styleId="Emphasis">
    <w:name w:val="Emphasis"/>
    <w:basedOn w:val="DefaultParagraphFont"/>
    <w:qFormat/>
    <w:rsid w:val="001E63B5"/>
    <w:rPr>
      <w:b/>
      <w:bCs/>
      <w:i w:val="0"/>
      <w:iCs w:val="0"/>
    </w:rPr>
  </w:style>
  <w:style w:type="paragraph" w:styleId="BodyTextIndent">
    <w:name w:val="Body Text Indent"/>
    <w:basedOn w:val="Normal"/>
    <w:rsid w:val="00673D1A"/>
    <w:pPr>
      <w:spacing w:after="120"/>
      <w:ind w:left="283"/>
    </w:pPr>
  </w:style>
  <w:style w:type="paragraph" w:styleId="DocumentMap">
    <w:name w:val="Document Map"/>
    <w:basedOn w:val="Normal"/>
    <w:semiHidden/>
    <w:rsid w:val="005D67CB"/>
    <w:pPr>
      <w:shd w:val="clear" w:color="auto" w:fill="000080"/>
    </w:pPr>
    <w:rPr>
      <w:rFonts w:ascii="Tahoma" w:hAnsi="Tahoma" w:cs="Tahoma"/>
      <w:sz w:val="20"/>
      <w:szCs w:val="20"/>
    </w:rPr>
  </w:style>
  <w:style w:type="character" w:styleId="CommentReference">
    <w:name w:val="annotation reference"/>
    <w:basedOn w:val="DefaultParagraphFont"/>
    <w:semiHidden/>
    <w:rsid w:val="0048383E"/>
    <w:rPr>
      <w:sz w:val="16"/>
      <w:szCs w:val="16"/>
    </w:rPr>
  </w:style>
  <w:style w:type="paragraph" w:styleId="CommentText">
    <w:name w:val="annotation text"/>
    <w:basedOn w:val="Normal"/>
    <w:semiHidden/>
    <w:rsid w:val="0048383E"/>
    <w:rPr>
      <w:sz w:val="20"/>
      <w:szCs w:val="20"/>
    </w:rPr>
  </w:style>
  <w:style w:type="paragraph" w:styleId="CommentSubject">
    <w:name w:val="annotation subject"/>
    <w:basedOn w:val="CommentText"/>
    <w:next w:val="CommentText"/>
    <w:semiHidden/>
    <w:rsid w:val="0048383E"/>
    <w:rPr>
      <w:b/>
      <w:bCs/>
    </w:rPr>
  </w:style>
  <w:style w:type="paragraph" w:styleId="BalloonText">
    <w:name w:val="Balloon Text"/>
    <w:basedOn w:val="Normal"/>
    <w:semiHidden/>
    <w:rsid w:val="0048383E"/>
    <w:rPr>
      <w:rFonts w:ascii="Tahoma" w:hAnsi="Tahoma" w:cs="Tahoma"/>
      <w:sz w:val="16"/>
      <w:szCs w:val="16"/>
    </w:rPr>
  </w:style>
  <w:style w:type="paragraph" w:styleId="BodyText2">
    <w:name w:val="Body Text 2"/>
    <w:basedOn w:val="Normal"/>
    <w:link w:val="BodyText2Char"/>
    <w:rsid w:val="00E3365A"/>
    <w:pPr>
      <w:spacing w:after="120" w:line="480" w:lineRule="auto"/>
    </w:pPr>
  </w:style>
  <w:style w:type="character" w:customStyle="1" w:styleId="BodyText2Char">
    <w:name w:val="Body Text 2 Char"/>
    <w:basedOn w:val="DefaultParagraphFont"/>
    <w:link w:val="BodyText2"/>
    <w:rsid w:val="00E3365A"/>
    <w:rPr>
      <w:sz w:val="24"/>
      <w:szCs w:val="24"/>
      <w:lang w:val="en-GB" w:eastAsia="hu-HU"/>
    </w:rPr>
  </w:style>
  <w:style w:type="paragraph" w:customStyle="1" w:styleId="Headiding2">
    <w:name w:val="Headiding2"/>
    <w:basedOn w:val="Normal"/>
    <w:rsid w:val="004C3C5A"/>
    <w:rPr>
      <w:rFonts w:eastAsiaTheme="minorHAnsi"/>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933899">
      <w:bodyDiv w:val="1"/>
      <w:marLeft w:val="0"/>
      <w:marRight w:val="0"/>
      <w:marTop w:val="0"/>
      <w:marBottom w:val="0"/>
      <w:divBdr>
        <w:top w:val="none" w:sz="0" w:space="0" w:color="auto"/>
        <w:left w:val="none" w:sz="0" w:space="0" w:color="auto"/>
        <w:bottom w:val="none" w:sz="0" w:space="0" w:color="auto"/>
        <w:right w:val="none" w:sz="0" w:space="0" w:color="auto"/>
      </w:divBdr>
    </w:div>
    <w:div w:id="121342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6</Pages>
  <Words>9512</Words>
  <Characters>5422</Characters>
  <Application>Microsoft Office Word</Application>
  <DocSecurity>0</DocSecurity>
  <Lines>45</Lines>
  <Paragraphs>29</Paragraphs>
  <ScaleCrop>false</ScaleCrop>
  <HeadingPairs>
    <vt:vector size="2" baseType="variant">
      <vt:variant>
        <vt:lpstr>Title</vt:lpstr>
      </vt:variant>
      <vt:variant>
        <vt:i4>1</vt:i4>
      </vt:variant>
    </vt:vector>
  </HeadingPairs>
  <TitlesOfParts>
    <vt:vector size="1" baseType="lpstr">
      <vt:lpstr>STANDARD NOTIFICATION FORM</vt:lpstr>
    </vt:vector>
  </TitlesOfParts>
  <Company>RRT</Company>
  <LinksUpToDate>false</LinksUpToDate>
  <CharactersWithSpaces>14905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NOTIFICATION FORM</dc:title>
  <dc:creator>jmasiulionyte</dc:creator>
  <cp:lastModifiedBy>Audrius Šniepis</cp:lastModifiedBy>
  <cp:revision>13</cp:revision>
  <cp:lastPrinted>2009-09-16T09:46:00Z</cp:lastPrinted>
  <dcterms:created xsi:type="dcterms:W3CDTF">2012-10-04T09:50:00Z</dcterms:created>
  <dcterms:modified xsi:type="dcterms:W3CDTF">2013-06-14T12:09:00Z</dcterms:modified>
</cp:coreProperties>
</file>