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2" w:rsidRDefault="003131E2" w:rsidP="00F344E4">
      <w:pPr>
        <w:pStyle w:val="Title"/>
        <w:spacing w:line="270" w:lineRule="exact"/>
      </w:pPr>
    </w:p>
    <w:p w:rsidR="00F344E4" w:rsidRDefault="00F344E4" w:rsidP="00F344E4">
      <w:pPr>
        <w:pStyle w:val="Title"/>
        <w:spacing w:line="270" w:lineRule="exact"/>
      </w:pPr>
      <w:r>
        <w:t>ĮSAKYMAS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  <w:rPr>
          <w:b/>
          <w:bCs/>
        </w:rPr>
      </w:pPr>
      <w:r>
        <w:rPr>
          <w:b/>
          <w:bCs/>
        </w:rPr>
        <w:t xml:space="preserve">DĖL RADIJO DAŽNIŲ (KANALŲ) NAUDOJIMO </w:t>
      </w:r>
      <w:r w:rsidR="002D0E3F">
        <w:rPr>
          <w:b/>
          <w:bCs/>
        </w:rPr>
        <w:t>SĄLYGŲ PAKEITIMO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303E14">
        <w:rPr>
          <w:b/>
          <w:bCs/>
        </w:rPr>
        <w:t>UAB „</w:t>
      </w:r>
      <w:r w:rsidR="00286C8B">
        <w:rPr>
          <w:b/>
          <w:bCs/>
        </w:rPr>
        <w:t>TEL</w:t>
      </w:r>
      <w:r w:rsidR="00303E14">
        <w:rPr>
          <w:b/>
          <w:bCs/>
        </w:rPr>
        <w:t>E2“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rPr>
          <w:b/>
        </w:rPr>
      </w:pPr>
    </w:p>
    <w:p w:rsidR="001603BA" w:rsidRDefault="001603BA" w:rsidP="00F344E4">
      <w:pPr>
        <w:autoSpaceDE w:val="0"/>
        <w:autoSpaceDN w:val="0"/>
        <w:adjustRightInd w:val="0"/>
        <w:spacing w:line="270" w:lineRule="exact"/>
        <w:rPr>
          <w:b/>
        </w:rPr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  <w:r>
        <w:t>201</w:t>
      </w:r>
      <w:r w:rsidR="004D3406">
        <w:t>9</w:t>
      </w:r>
      <w:r>
        <w:t xml:space="preserve"> m.</w:t>
      </w:r>
      <w:r w:rsidR="001F2646">
        <w:t xml:space="preserve"> </w:t>
      </w:r>
      <w:r w:rsidR="00F60336">
        <w:t xml:space="preserve">                </w:t>
      </w:r>
      <w:bookmarkStart w:id="0" w:name="_GoBack"/>
      <w:bookmarkEnd w:id="0"/>
      <w:r w:rsidR="00286C8B">
        <w:t xml:space="preserve"> </w:t>
      </w:r>
      <w:r w:rsidR="003B5856">
        <w:t xml:space="preserve">          </w:t>
      </w:r>
      <w:r w:rsidR="00A76D1E">
        <w:t xml:space="preserve"> d.</w:t>
      </w:r>
      <w:r w:rsidR="008471F4">
        <w:t xml:space="preserve"> </w:t>
      </w:r>
      <w:r>
        <w:t xml:space="preserve"> Nr. 1V-</w:t>
      </w:r>
      <w:r w:rsidR="00A76D1E">
        <w:t xml:space="preserve"> 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  <w:r>
        <w:t>Vilnius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center"/>
      </w:pPr>
    </w:p>
    <w:p w:rsidR="001603BA" w:rsidRDefault="001603BA" w:rsidP="00F344E4">
      <w:pPr>
        <w:autoSpaceDE w:val="0"/>
        <w:autoSpaceDN w:val="0"/>
        <w:adjustRightInd w:val="0"/>
        <w:spacing w:line="270" w:lineRule="exact"/>
        <w:jc w:val="center"/>
      </w:pPr>
    </w:p>
    <w:p w:rsidR="00F344E4" w:rsidRDefault="00F344E4" w:rsidP="001603BA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="006F48C8" w:rsidRPr="00A92ED6">
        <w:t>Vadovaudamasi</w:t>
      </w:r>
      <w:r w:rsidR="00195810">
        <w:t>s</w:t>
      </w:r>
      <w:r w:rsidR="006F48C8" w:rsidRPr="00A92ED6">
        <w:t xml:space="preserve"> Lietuvos Respublikos elektroninių ryšių įstatymo 59 straipsnio 1 dalimi, Radijo dažnių (kanalų) skyrimo ir naudojimo taisyklių, patvirtintų Lietuvos Respublikos ryšių reguliavimo tarnybos direktoriaus 2005 m. spalio 6 d. įsakymu Nr. 1V-854 „Dėl Radijo dažnių (kanalų) skyrimo ir naudojimo taisyklių patvirtinimo“, (toliau – Taisyklės) 56.1, 59.1</w:t>
      </w:r>
      <w:r w:rsidR="003039E0">
        <w:t>,</w:t>
      </w:r>
      <w:r w:rsidR="006F48C8" w:rsidRPr="00A92ED6">
        <w:t xml:space="preserve"> 60.1 papunkčiais ir atsižvelgdama</w:t>
      </w:r>
      <w:r w:rsidR="00195810">
        <w:t>s</w:t>
      </w:r>
      <w:r w:rsidR="006F48C8" w:rsidRPr="00A92ED6">
        <w:t xml:space="preserve"> į </w:t>
      </w:r>
      <w:r w:rsidR="002C2FE3">
        <w:t>UAB „</w:t>
      </w:r>
      <w:r w:rsidR="00286C8B">
        <w:t>Tel</w:t>
      </w:r>
      <w:r w:rsidR="002C2FE3">
        <w:t>e2“</w:t>
      </w:r>
      <w:r w:rsidR="00BB1C18">
        <w:t xml:space="preserve"> </w:t>
      </w:r>
      <w:r>
        <w:t xml:space="preserve">(įmonės kodas </w:t>
      </w:r>
      <w:r w:rsidR="004A31B4">
        <w:t>111471645</w:t>
      </w:r>
      <w:r>
        <w:t>) 201</w:t>
      </w:r>
      <w:r w:rsidR="004D3406">
        <w:t>9</w:t>
      </w:r>
      <w:r>
        <w:t xml:space="preserve"> m. </w:t>
      </w:r>
      <w:r w:rsidR="004A31B4">
        <w:t>liepos</w:t>
      </w:r>
      <w:r w:rsidR="001F2646">
        <w:t xml:space="preserve"> </w:t>
      </w:r>
      <w:r w:rsidR="004A31B4">
        <w:t>5</w:t>
      </w:r>
      <w:r w:rsidR="006B716C">
        <w:t xml:space="preserve"> </w:t>
      </w:r>
      <w:r w:rsidR="00286C8B">
        <w:t> </w:t>
      </w:r>
      <w:r>
        <w:t xml:space="preserve">d. </w:t>
      </w:r>
      <w:r w:rsidR="004A31B4">
        <w:t xml:space="preserve">dalį </w:t>
      </w:r>
      <w:r>
        <w:t>prašym</w:t>
      </w:r>
      <w:r w:rsidR="004A31B4">
        <w:t>o</w:t>
      </w:r>
      <w:r w:rsidR="00286C8B">
        <w:t xml:space="preserve"> Nr. </w:t>
      </w:r>
      <w:r w:rsidR="004A31B4">
        <w:t>SD</w:t>
      </w:r>
      <w:r w:rsidR="00286C8B">
        <w:t>-</w:t>
      </w:r>
      <w:r w:rsidR="004A31B4">
        <w:t>30603</w:t>
      </w:r>
      <w:r>
        <w:t>:</w:t>
      </w:r>
    </w:p>
    <w:p w:rsidR="00F344E4" w:rsidRDefault="00F344E4" w:rsidP="001603BA">
      <w:pPr>
        <w:autoSpaceDE w:val="0"/>
        <w:autoSpaceDN w:val="0"/>
        <w:adjustRightInd w:val="0"/>
        <w:ind w:firstLine="720"/>
        <w:jc w:val="both"/>
      </w:pPr>
      <w:r>
        <w:t>1</w:t>
      </w:r>
      <w:r>
        <w:rPr>
          <w:spacing w:val="60"/>
        </w:rPr>
        <w:t>.Nustačia</w:t>
      </w:r>
      <w:r>
        <w:t xml:space="preserve">u, kad </w:t>
      </w:r>
      <w:r w:rsidR="004A31B4">
        <w:t>UAB „Tele2“</w:t>
      </w:r>
      <w:r w:rsidR="00920C90">
        <w:t xml:space="preserve"> </w:t>
      </w:r>
      <w:r>
        <w:t>201</w:t>
      </w:r>
      <w:r w:rsidR="004D3406">
        <w:t>9</w:t>
      </w:r>
      <w:r>
        <w:t xml:space="preserve"> m. </w:t>
      </w:r>
      <w:r w:rsidR="004A31B4">
        <w:t>liepos</w:t>
      </w:r>
      <w:r>
        <w:t xml:space="preserve"> </w:t>
      </w:r>
      <w:r w:rsidR="004A31B4">
        <w:t>5</w:t>
      </w:r>
      <w:r>
        <w:t xml:space="preserve"> d. prašym</w:t>
      </w:r>
      <w:r w:rsidR="003C7B11">
        <w:t xml:space="preserve">e </w:t>
      </w:r>
      <w:r w:rsidR="004A31B4">
        <w:t>Nr. </w:t>
      </w:r>
      <w:r w:rsidR="004A31B4">
        <w:t>SD</w:t>
      </w:r>
      <w:r w:rsidR="004A31B4">
        <w:t>-</w:t>
      </w:r>
      <w:r w:rsidR="004A31B4">
        <w:t>30603</w:t>
      </w:r>
      <w:r w:rsidR="004A31B4">
        <w:t xml:space="preserve"> </w:t>
      </w:r>
      <w:r>
        <w:t>prašo</w:t>
      </w:r>
      <w:r w:rsidR="008228D5">
        <w:t xml:space="preserve"> Lietuvos Respublikos ryšių reguliavimo tarnybos (toliau – Tarnyba)</w:t>
      </w:r>
      <w:r>
        <w:t xml:space="preserve"> </w:t>
      </w:r>
      <w:r w:rsidR="006F48C8">
        <w:t>pakeisti</w:t>
      </w:r>
      <w:r>
        <w:t xml:space="preserve"> </w:t>
      </w:r>
      <w:r w:rsidR="008228D5">
        <w:t>T</w:t>
      </w:r>
      <w:r>
        <w:t>arnybos</w:t>
      </w:r>
      <w:r w:rsidR="008F6FC9">
        <w:t xml:space="preserve"> </w:t>
      </w:r>
      <w:r w:rsidR="002656DE">
        <w:t xml:space="preserve"> </w:t>
      </w:r>
      <w:r w:rsidR="001603BA">
        <w:t>20</w:t>
      </w:r>
      <w:r w:rsidR="004A31B4">
        <w:t>17</w:t>
      </w:r>
      <w:r w:rsidR="001603BA">
        <w:t xml:space="preserve"> m. </w:t>
      </w:r>
      <w:r w:rsidR="004A31B4">
        <w:t>gegužės</w:t>
      </w:r>
      <w:r w:rsidR="001603BA">
        <w:t xml:space="preserve"> </w:t>
      </w:r>
      <w:r w:rsidR="004A31B4">
        <w:t>22</w:t>
      </w:r>
      <w:r w:rsidR="001603BA">
        <w:t> d. išduot</w:t>
      </w:r>
      <w:r w:rsidR="004A31B4">
        <w:t>uose</w:t>
      </w:r>
      <w:r w:rsidR="001603BA">
        <w:t xml:space="preserve"> leidim</w:t>
      </w:r>
      <w:r w:rsidR="004A31B4">
        <w:t>uose</w:t>
      </w:r>
      <w:r w:rsidR="001603BA">
        <w:t xml:space="preserve"> Nr. (13.32)</w:t>
      </w:r>
      <w:r w:rsidR="004A31B4">
        <w:t> </w:t>
      </w:r>
      <w:r w:rsidR="001603BA">
        <w:t>5R-10</w:t>
      </w:r>
      <w:r w:rsidR="004A31B4">
        <w:t>6288</w:t>
      </w:r>
      <w:r w:rsidR="001603BA">
        <w:t xml:space="preserve">, </w:t>
      </w:r>
      <w:r w:rsidR="004A31B4">
        <w:t>Nr. (13.32) 5R-1062</w:t>
      </w:r>
      <w:r w:rsidR="004A31B4">
        <w:t xml:space="preserve">89, </w:t>
      </w:r>
      <w:r w:rsidR="004A31B4">
        <w:t>Nr. (13.32) 5R-10629</w:t>
      </w:r>
      <w:r w:rsidR="004A31B4">
        <w:t xml:space="preserve">0, </w:t>
      </w:r>
      <w:r w:rsidR="004A31B4">
        <w:t>Nr. (13.32) 5R-10</w:t>
      </w:r>
      <w:r w:rsidR="004A31B4">
        <w:t xml:space="preserve">6291, </w:t>
      </w:r>
      <w:r w:rsidR="004A31B4">
        <w:t>Nr. (13.32) 5R-106292</w:t>
      </w:r>
      <w:r w:rsidR="004A31B4">
        <w:t xml:space="preserve"> ir 2</w:t>
      </w:r>
      <w:r w:rsidR="00625931">
        <w:t>01</w:t>
      </w:r>
      <w:r w:rsidR="004A31B4">
        <w:t>7</w:t>
      </w:r>
      <w:r w:rsidR="00625931">
        <w:t xml:space="preserve"> m. </w:t>
      </w:r>
      <w:r w:rsidR="004A31B4">
        <w:t>gegužės</w:t>
      </w:r>
      <w:r w:rsidR="00625931">
        <w:t xml:space="preserve"> </w:t>
      </w:r>
      <w:r w:rsidR="004A31B4">
        <w:t>23</w:t>
      </w:r>
      <w:r w:rsidR="00625931">
        <w:t> d. išduot</w:t>
      </w:r>
      <w:r w:rsidR="004A31B4">
        <w:t>uose</w:t>
      </w:r>
      <w:r w:rsidR="00625931">
        <w:t xml:space="preserve"> leidim</w:t>
      </w:r>
      <w:r w:rsidR="004A31B4">
        <w:t>uose</w:t>
      </w:r>
      <w:r w:rsidR="00625931">
        <w:t xml:space="preserve"> </w:t>
      </w:r>
      <w:r w:rsidR="004A31B4">
        <w:t>Nr. (13.32) 5R-106</w:t>
      </w:r>
      <w:r w:rsidR="004A31B4">
        <w:t xml:space="preserve">318, </w:t>
      </w:r>
      <w:r w:rsidR="00625931">
        <w:t xml:space="preserve"> </w:t>
      </w:r>
      <w:r w:rsidR="004A31B4">
        <w:t>Nr. (13.32) 5R-10</w:t>
      </w:r>
      <w:r w:rsidR="004A31B4">
        <w:t xml:space="preserve">6319, </w:t>
      </w:r>
      <w:r w:rsidR="004A31B4">
        <w:t>Nr. (13.32) 5R-10</w:t>
      </w:r>
      <w:r w:rsidR="004A31B4">
        <w:t xml:space="preserve">6320, </w:t>
      </w:r>
      <w:r w:rsidR="004A31B4">
        <w:t>Nr. (13.32) 5R-10</w:t>
      </w:r>
      <w:r w:rsidR="004A31B4">
        <w:t xml:space="preserve">6321, </w:t>
      </w:r>
      <w:r w:rsidR="004A31B4">
        <w:t>Nr. (13.32) 5R-10</w:t>
      </w:r>
      <w:r w:rsidR="004A31B4">
        <w:t xml:space="preserve">6322, </w:t>
      </w:r>
      <w:r w:rsidR="004A31B4">
        <w:t>Nr. (13.32) 5R-10</w:t>
      </w:r>
      <w:r w:rsidR="004A31B4">
        <w:t xml:space="preserve">6323, </w:t>
      </w:r>
      <w:r w:rsidR="004A31B4">
        <w:t>Nr. (13.32) 5R-10</w:t>
      </w:r>
      <w:r w:rsidR="004A31B4">
        <w:t xml:space="preserve">6324, </w:t>
      </w:r>
      <w:r w:rsidR="004A31B4">
        <w:t>Nr. (13.32) 5R-10</w:t>
      </w:r>
      <w:r w:rsidR="004A31B4">
        <w:t xml:space="preserve">6325, </w:t>
      </w:r>
      <w:r w:rsidR="001603BA">
        <w:t xml:space="preserve"> </w:t>
      </w:r>
      <w:r w:rsidR="004A31B4">
        <w:t>Nr. (13.32) 5R-10</w:t>
      </w:r>
      <w:r w:rsidR="004A31B4">
        <w:t xml:space="preserve">6326 </w:t>
      </w:r>
      <w:r>
        <w:t>naudoti radijo dažnius (kanalus) nustatyt</w:t>
      </w:r>
      <w:r w:rsidR="003B050D">
        <w:t>as</w:t>
      </w:r>
      <w:r>
        <w:t xml:space="preserve"> </w:t>
      </w:r>
      <w:r w:rsidR="003B050D">
        <w:t>maksimalias siųstuvo galias bei antenų stiprinimus</w:t>
      </w:r>
      <w:r w:rsidR="005A5807">
        <w:t>.</w:t>
      </w:r>
    </w:p>
    <w:p w:rsidR="00F344E4" w:rsidRDefault="00F344E4" w:rsidP="001603BA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6F48C8" w:rsidRPr="00A92ED6">
        <w:rPr>
          <w:spacing w:val="60"/>
        </w:rPr>
        <w:t>Konstatuoj</w:t>
      </w:r>
      <w:r w:rsidR="006F48C8" w:rsidRPr="00A92ED6">
        <w:t xml:space="preserve">u, kad, vadovaujantis Taisyklių 56.1 papunkčiu, </w:t>
      </w:r>
      <w:r w:rsidR="008F6FC9">
        <w:t>T</w:t>
      </w:r>
      <w:r w:rsidR="006F48C8" w:rsidRPr="00A92ED6">
        <w:t xml:space="preserve">arnybos </w:t>
      </w:r>
      <w:r w:rsidR="007B7965">
        <w:t xml:space="preserve"> </w:t>
      </w:r>
      <w:r w:rsidR="006F48C8" w:rsidRPr="00A92ED6">
        <w:t>sprendimu nustatytos paskirtų radijo dažnių (kanalų) naudojimo sąlygos gali būti keičiamos radijo dažni</w:t>
      </w:r>
      <w:r w:rsidR="00AF5A2F">
        <w:t>ų</w:t>
      </w:r>
      <w:r w:rsidR="006F48C8" w:rsidRPr="00A92ED6">
        <w:t xml:space="preserve"> (kanal</w:t>
      </w:r>
      <w:r w:rsidR="00AF5A2F">
        <w:t>ų</w:t>
      </w:r>
      <w:r w:rsidR="006F48C8" w:rsidRPr="00A92ED6">
        <w:t>) naudotojo prašymu</w:t>
      </w:r>
      <w:r w:rsidR="00AF5A2F">
        <w:t xml:space="preserve"> Taisyklių 57-60 punktuose nustatyta tvarka</w:t>
      </w:r>
      <w:r w:rsidR="006F48C8" w:rsidRPr="00A92ED6">
        <w:t xml:space="preserve">. Vadovaudamasi Taisyklių 59.1 papunkčiu, </w:t>
      </w:r>
      <w:r w:rsidR="007B7965" w:rsidRPr="008228D5">
        <w:t>T</w:t>
      </w:r>
      <w:r w:rsidR="006F48C8" w:rsidRPr="008228D5">
        <w:t>arnyba</w:t>
      </w:r>
      <w:r w:rsidR="008228D5" w:rsidRPr="008228D5">
        <w:t xml:space="preserve"> </w:t>
      </w:r>
      <w:r w:rsidR="008228D5" w:rsidRPr="00F606F6">
        <w:rPr>
          <w:color w:val="000000"/>
          <w:spacing w:val="-6"/>
        </w:rPr>
        <w:t>atlieka radijo dažnių (kanalų) tarptautinio koordinavimo procedūrą, jeigu tai reikalinga, ir</w:t>
      </w:r>
      <w:r w:rsidR="006F48C8" w:rsidRPr="008228D5">
        <w:t xml:space="preserve"> Viešo konsultavimosi dėl</w:t>
      </w:r>
      <w:r w:rsidR="00AF5A2F" w:rsidRPr="008228D5">
        <w:t xml:space="preserve"> Lietuvos Respublikos ryšių reguliavimo</w:t>
      </w:r>
      <w:r w:rsidR="006F48C8" w:rsidRPr="008228D5">
        <w:t xml:space="preserve"> </w:t>
      </w:r>
      <w:r w:rsidR="00AF5A2F" w:rsidRPr="008228D5">
        <w:t>t</w:t>
      </w:r>
      <w:r w:rsidR="007B7965" w:rsidRPr="008228D5">
        <w:t xml:space="preserve">arnybos </w:t>
      </w:r>
      <w:r w:rsidR="006F48C8" w:rsidRPr="008228D5">
        <w:t>sprendimų taisyklių</w:t>
      </w:r>
      <w:r w:rsidR="006F48C8" w:rsidRPr="00A92ED6">
        <w:t xml:space="preserve">, patvirtintų </w:t>
      </w:r>
      <w:r w:rsidR="008F6FC9">
        <w:t>T</w:t>
      </w:r>
      <w:r w:rsidR="006F48C8" w:rsidRPr="00A92ED6">
        <w:t>arnybos direktoriaus 2004 m. rugsėjo 16 d. įsakymu Nr.</w:t>
      </w:r>
      <w:r w:rsidR="00F81F93">
        <w:t> </w:t>
      </w:r>
      <w:r w:rsidR="006F48C8" w:rsidRPr="00A92ED6">
        <w:t>1V-295 „Dėl Viešo konsultavimosi dėl Lietuvos Respublikos ryšių reguliavimo tarnybos sprendimų taisyklių patvirtinimo“, nustatyta tvarka konsultuojasi dėl sprendimo, kuriuo keičiamos su radijo dažnių (kanalų) naudojimu susijusios sąlygos</w:t>
      </w:r>
      <w:r w:rsidR="008228D5">
        <w:t>. Pagal Taisyklių 60.1 papunktį,</w:t>
      </w:r>
      <w:r w:rsidR="006F48C8" w:rsidRPr="00A92ED6">
        <w:t xml:space="preserve"> pasibaigus Taisyklių 59.1 papunktyje </w:t>
      </w:r>
      <w:r w:rsidR="006F48C8" w:rsidRPr="008228D5">
        <w:t>nurodytai</w:t>
      </w:r>
      <w:r w:rsidR="008228D5" w:rsidRPr="008228D5">
        <w:t xml:space="preserve"> </w:t>
      </w:r>
      <w:r w:rsidR="008228D5" w:rsidRPr="00F606F6">
        <w:rPr>
          <w:color w:val="000000"/>
          <w:spacing w:val="-6"/>
        </w:rPr>
        <w:t>radijo dažnių (kanalų) koordinavimo procedūrai, jeigu ji buvo vykdoma, ir (ar)</w:t>
      </w:r>
      <w:r w:rsidR="006F48C8" w:rsidRPr="008228D5">
        <w:t xml:space="preserve"> viešo</w:t>
      </w:r>
      <w:r w:rsidR="006F48C8" w:rsidRPr="00A92ED6">
        <w:t xml:space="preserve"> konsultavimosi procedūrai, </w:t>
      </w:r>
      <w:r w:rsidR="008F6FC9">
        <w:t>T</w:t>
      </w:r>
      <w:r w:rsidR="006F48C8" w:rsidRPr="00A92ED6">
        <w:t>arnyba per 10 darbo dienų, bet ne vėliau kaip iki atitinkamo radijo dažnių (kanalų) naudojimo termino pabaigos, priima sprendimą pakeisti radijo dažnių (kanalų) naudojimo sąlygas.</w:t>
      </w:r>
    </w:p>
    <w:p w:rsidR="00F606F6" w:rsidRDefault="00F344E4" w:rsidP="001603BA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7B7965" w:rsidRPr="00A92ED6">
        <w:rPr>
          <w:spacing w:val="60"/>
        </w:rPr>
        <w:t>Pakeičiu</w:t>
      </w:r>
      <w:r w:rsidR="001438EE">
        <w:rPr>
          <w:spacing w:val="60"/>
        </w:rPr>
        <w:t>:</w:t>
      </w:r>
    </w:p>
    <w:p w:rsidR="00A369DD" w:rsidRDefault="00A369DD" w:rsidP="001603BA">
      <w:pPr>
        <w:autoSpaceDE w:val="0"/>
        <w:autoSpaceDN w:val="0"/>
        <w:adjustRightInd w:val="0"/>
        <w:ind w:firstLine="720"/>
        <w:jc w:val="both"/>
      </w:pPr>
      <w:r>
        <w:t>3.1.</w:t>
      </w:r>
      <w:r w:rsidR="00F008A3">
        <w:t> </w:t>
      </w:r>
      <w:r w:rsidR="001438EE">
        <w:t>Tarnybos</w:t>
      </w:r>
      <w:r w:rsidR="001438EE">
        <w:t xml:space="preserve"> </w:t>
      </w:r>
      <w:r w:rsidR="001438EE">
        <w:t>2017 m. gegužės 22 d. išduotuose leidimuose Nr. (13.32) 5R-106288, Nr. (13.32) 5R-106289</w:t>
      </w:r>
      <w:r w:rsidR="001438EE">
        <w:t xml:space="preserve"> ir </w:t>
      </w:r>
      <w:r w:rsidR="001438EE">
        <w:t>2017 m. gegužės 23 d. išduotuose leidimuose Nr. (13.32) 5R-106318,  Nr. (13.32) 5R-106319, Nr. (13.32) 5R-106322, Nr. (13.32) 5R-106324, Nr. (13.32) 5R-106326</w:t>
      </w:r>
      <w:r w:rsidR="001438EE">
        <w:t xml:space="preserve"> </w:t>
      </w:r>
      <w:r w:rsidR="001438EE">
        <w:t xml:space="preserve"> </w:t>
      </w:r>
      <w:r w:rsidR="00F008A3">
        <w:t>naudoti radijo dažnius (kanalus) nustatytas radijo dažnių (kanalų) naudojimo sąlygas ir išdėstau jas taip:</w:t>
      </w:r>
    </w:p>
    <w:p w:rsidR="00F008A3" w:rsidRDefault="00F008A3" w:rsidP="001603BA">
      <w:pPr>
        <w:autoSpaceDE w:val="0"/>
        <w:autoSpaceDN w:val="0"/>
        <w:adjustRightInd w:val="0"/>
        <w:ind w:firstLine="720"/>
        <w:jc w:val="both"/>
      </w:pPr>
      <w:r>
        <w:t xml:space="preserve">3.1.1. stočių </w:t>
      </w:r>
      <w:r w:rsidR="001C7C28">
        <w:t xml:space="preserve">A ir B </w:t>
      </w:r>
      <w:r>
        <w:t xml:space="preserve">maksimali siųstuvo galia – </w:t>
      </w:r>
      <w:r>
        <w:t>10</w:t>
      </w:r>
      <w:r>
        <w:t xml:space="preserve"> </w:t>
      </w:r>
      <w:proofErr w:type="spellStart"/>
      <w:r>
        <w:t>dBm</w:t>
      </w:r>
      <w:proofErr w:type="spellEnd"/>
      <w:r>
        <w:t>;</w:t>
      </w:r>
    </w:p>
    <w:p w:rsidR="00925846" w:rsidRDefault="00925846" w:rsidP="00925846">
      <w:pPr>
        <w:autoSpaceDE w:val="0"/>
        <w:autoSpaceDN w:val="0"/>
        <w:adjustRightInd w:val="0"/>
        <w:ind w:firstLine="720"/>
        <w:jc w:val="both"/>
      </w:pPr>
      <w:r>
        <w:lastRenderedPageBreak/>
        <w:t>3.</w:t>
      </w:r>
      <w:r>
        <w:t>2</w:t>
      </w:r>
      <w:r>
        <w:t>. Tarnybos 2017 m. gegužės 22 d. išduotame leidime Nr. (13.32) 5R-106292 naudoti radijo dažnius (kanalus) nustatytas radijo dažnių (kanalų) naudojimo sąlygas ir išdėstau jas taip:</w:t>
      </w:r>
    </w:p>
    <w:p w:rsidR="00925846" w:rsidRDefault="00925846" w:rsidP="00925846">
      <w:pPr>
        <w:autoSpaceDE w:val="0"/>
        <w:autoSpaceDN w:val="0"/>
        <w:adjustRightInd w:val="0"/>
        <w:ind w:firstLine="720"/>
        <w:jc w:val="both"/>
      </w:pPr>
      <w:r>
        <w:t>3.</w:t>
      </w:r>
      <w:r>
        <w:t>2</w:t>
      </w:r>
      <w:r>
        <w:t xml:space="preserve">.1. stočių </w:t>
      </w:r>
      <w:r w:rsidR="001C7C28">
        <w:t xml:space="preserve">A ir B </w:t>
      </w:r>
      <w:r>
        <w:t xml:space="preserve">maksimali siųstuvo galia – 24 </w:t>
      </w:r>
      <w:proofErr w:type="spellStart"/>
      <w:r>
        <w:t>dBm</w:t>
      </w:r>
      <w:proofErr w:type="spellEnd"/>
      <w:r>
        <w:t>;</w:t>
      </w:r>
    </w:p>
    <w:p w:rsidR="00F008A3" w:rsidRDefault="00F008A3" w:rsidP="00925846">
      <w:pPr>
        <w:autoSpaceDE w:val="0"/>
        <w:autoSpaceDN w:val="0"/>
        <w:adjustRightInd w:val="0"/>
        <w:ind w:firstLine="720"/>
        <w:jc w:val="both"/>
      </w:pPr>
      <w:r>
        <w:t>3.</w:t>
      </w:r>
      <w:r w:rsidR="00925846">
        <w:t>3</w:t>
      </w:r>
      <w:r>
        <w:t xml:space="preserve">. Tarnybos </w:t>
      </w:r>
      <w:r>
        <w:t>2017 m. gegužės 23 d. išduotuose leidimuose Nr. (13.32) 5R-1063</w:t>
      </w:r>
      <w:r>
        <w:t>20</w:t>
      </w:r>
      <w:r>
        <w:t>,  Nr. (13.32) 5R-10632</w:t>
      </w:r>
      <w:r>
        <w:t>5</w:t>
      </w:r>
      <w:r>
        <w:t xml:space="preserve">  naudoti radijo dažnius (kanalus) nustatytas radijo dažnių (kanalų) naudojimo sąlygas ir išdėstau jas taip:</w:t>
      </w:r>
    </w:p>
    <w:p w:rsidR="00F008A3" w:rsidRDefault="00F008A3" w:rsidP="001603BA">
      <w:pPr>
        <w:autoSpaceDE w:val="0"/>
        <w:autoSpaceDN w:val="0"/>
        <w:adjustRightInd w:val="0"/>
        <w:ind w:firstLine="720"/>
        <w:jc w:val="both"/>
      </w:pPr>
      <w:r>
        <w:t>3.</w:t>
      </w:r>
      <w:r w:rsidR="00925846">
        <w:t>3</w:t>
      </w:r>
      <w:r>
        <w:t xml:space="preserve">.1. stočių </w:t>
      </w:r>
      <w:r w:rsidR="001C7C28">
        <w:t xml:space="preserve">A ir B </w:t>
      </w:r>
      <w:r>
        <w:t xml:space="preserve">maksimali siųstuvo galia – 10 </w:t>
      </w:r>
      <w:proofErr w:type="spellStart"/>
      <w:r>
        <w:t>dBm</w:t>
      </w:r>
      <w:proofErr w:type="spellEnd"/>
      <w:r>
        <w:t>;</w:t>
      </w:r>
    </w:p>
    <w:p w:rsidR="00F008A3" w:rsidRDefault="00F008A3" w:rsidP="001603BA">
      <w:pPr>
        <w:autoSpaceDE w:val="0"/>
        <w:autoSpaceDN w:val="0"/>
        <w:adjustRightInd w:val="0"/>
        <w:ind w:firstLine="720"/>
        <w:jc w:val="both"/>
      </w:pPr>
      <w:r>
        <w:t>3.</w:t>
      </w:r>
      <w:r w:rsidR="00925846">
        <w:t>3</w:t>
      </w:r>
      <w:r>
        <w:t xml:space="preserve">.2. stoties A antenos stiprinimas – 37 </w:t>
      </w:r>
      <w:proofErr w:type="spellStart"/>
      <w:r>
        <w:t>dBi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4</w:t>
      </w:r>
      <w:r>
        <w:t>. Tarnybos 2017 m. gegužės 22 d. išduotame leidime Nr. (13.32) 5R-10629</w:t>
      </w:r>
      <w:r>
        <w:t>1</w:t>
      </w:r>
      <w:r>
        <w:t xml:space="preserve"> naudoti radijo dažnius (kanalus) nustatytas radijo dažnių (kanalų) naudojimo sąlygas ir išdėstau jas taip: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4</w:t>
      </w:r>
      <w:r>
        <w:t xml:space="preserve">.1. stočių </w:t>
      </w:r>
      <w:r w:rsidR="001C7C28">
        <w:t xml:space="preserve">A ir B </w:t>
      </w:r>
      <w:r>
        <w:t xml:space="preserve">maksimali siųstuvo galia – 10 </w:t>
      </w:r>
      <w:proofErr w:type="spellStart"/>
      <w:r>
        <w:t>dBm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4</w:t>
      </w:r>
      <w:r>
        <w:t>.2. stoties A antenos stiprinimas – 3</w:t>
      </w:r>
      <w:r>
        <w:t>2</w:t>
      </w:r>
      <w:r>
        <w:t xml:space="preserve"> </w:t>
      </w:r>
      <w:proofErr w:type="spellStart"/>
      <w:r>
        <w:t>dBi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5</w:t>
      </w:r>
      <w:r>
        <w:t>. Tarnybos 2017 m. gegužės 23 d. išduotuose leidimuose Nr. (13.32) 5R-10632</w:t>
      </w:r>
      <w:r>
        <w:t>1</w:t>
      </w:r>
      <w:r>
        <w:t>, Nr. (13.32) 5R-10632</w:t>
      </w:r>
      <w:r>
        <w:t>3</w:t>
      </w:r>
      <w:r>
        <w:t xml:space="preserve">  naudoti radijo dažnius (kanalus) nustatytas radijo dažnių (kanalų) naudojimo sąlygas ir išdėstau jas taip: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5</w:t>
      </w:r>
      <w:r>
        <w:t xml:space="preserve">.1. stočių </w:t>
      </w:r>
      <w:r w:rsidR="001C7C28">
        <w:t xml:space="preserve">A ir B </w:t>
      </w:r>
      <w:r>
        <w:t xml:space="preserve">maksimali siųstuvo galia – 10 </w:t>
      </w:r>
      <w:proofErr w:type="spellStart"/>
      <w:r>
        <w:t>dBm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5</w:t>
      </w:r>
      <w:r>
        <w:t>.2. sto</w:t>
      </w:r>
      <w:r>
        <w:t>čių</w:t>
      </w:r>
      <w:r>
        <w:t xml:space="preserve"> </w:t>
      </w:r>
      <w:r w:rsidR="001C7C28">
        <w:t xml:space="preserve">A ir B </w:t>
      </w:r>
      <w:r>
        <w:t>anten</w:t>
      </w:r>
      <w:r>
        <w:t>ų</w:t>
      </w:r>
      <w:r>
        <w:t xml:space="preserve"> stiprinimas – 37 </w:t>
      </w:r>
      <w:proofErr w:type="spellStart"/>
      <w:r>
        <w:t>dBi</w:t>
      </w:r>
      <w:proofErr w:type="spellEnd"/>
      <w:r>
        <w:t>;</w:t>
      </w:r>
    </w:p>
    <w:p w:rsidR="00585C28" w:rsidRDefault="00585C28" w:rsidP="001603BA">
      <w:pPr>
        <w:autoSpaceDE w:val="0"/>
        <w:autoSpaceDN w:val="0"/>
        <w:adjustRightInd w:val="0"/>
        <w:ind w:firstLine="720"/>
        <w:jc w:val="both"/>
      </w:pPr>
      <w:r>
        <w:t>3.</w:t>
      </w:r>
      <w:r>
        <w:t>6</w:t>
      </w:r>
      <w:r>
        <w:t>. Tarnybos 2017 m. gegužės 22 d. išduotame leidime Nr. (13.32) 5R-106292 naudoti radijo dažnius (kanalus) nustatytas radijo dažnių (kanalų) naudojimo sąlygas ir išdėstau jas taip: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6</w:t>
      </w:r>
      <w:r>
        <w:t xml:space="preserve">.1. stočių </w:t>
      </w:r>
      <w:r w:rsidR="001C7C28">
        <w:t xml:space="preserve">A ir B </w:t>
      </w:r>
      <w:r>
        <w:t xml:space="preserve">maksimali siųstuvo galia – 10 </w:t>
      </w:r>
      <w:proofErr w:type="spellStart"/>
      <w:r>
        <w:t>dBm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</w:t>
      </w:r>
      <w:r>
        <w:t>6</w:t>
      </w:r>
      <w:r>
        <w:t xml:space="preserve">.2. stoties A antenos stiprinimas – 37 </w:t>
      </w:r>
      <w:proofErr w:type="spellStart"/>
      <w:r>
        <w:t>dBi</w:t>
      </w:r>
      <w:proofErr w:type="spellEnd"/>
      <w:r>
        <w:t>;</w:t>
      </w:r>
    </w:p>
    <w:p w:rsidR="00585C28" w:rsidRDefault="00585C28" w:rsidP="00585C28">
      <w:pPr>
        <w:autoSpaceDE w:val="0"/>
        <w:autoSpaceDN w:val="0"/>
        <w:adjustRightInd w:val="0"/>
        <w:ind w:firstLine="720"/>
        <w:jc w:val="both"/>
      </w:pPr>
      <w:r>
        <w:t>3.6.3. </w:t>
      </w:r>
      <w:r w:rsidR="00195810">
        <w:t xml:space="preserve">stočių </w:t>
      </w:r>
      <w:r w:rsidR="001C7C28">
        <w:t xml:space="preserve">A ir B </w:t>
      </w:r>
      <w:r w:rsidR="00195810">
        <w:t>spinduliavimo poliarizacija – V.</w:t>
      </w:r>
    </w:p>
    <w:p w:rsidR="00C0188C" w:rsidRPr="00A92ED6" w:rsidRDefault="001B7713" w:rsidP="001603BA">
      <w:pPr>
        <w:autoSpaceDE w:val="0"/>
        <w:autoSpaceDN w:val="0"/>
        <w:adjustRightInd w:val="0"/>
        <w:ind w:firstLine="720"/>
        <w:jc w:val="both"/>
      </w:pPr>
      <w:r>
        <w:t>4</w:t>
      </w:r>
      <w:r w:rsidR="00F164E0" w:rsidRPr="00A92ED6">
        <w:t xml:space="preserve">. </w:t>
      </w:r>
      <w:r w:rsidR="00F164E0" w:rsidRPr="00A92ED6">
        <w:rPr>
          <w:bCs/>
          <w:spacing w:val="100"/>
        </w:rPr>
        <w:t>Nustata</w:t>
      </w:r>
      <w:r w:rsidR="00F164E0" w:rsidRPr="00A92ED6">
        <w:rPr>
          <w:lang w:eastAsia="lt-LT"/>
        </w:rPr>
        <w:t>u,</w:t>
      </w:r>
      <w:r w:rsidR="00F164E0">
        <w:t xml:space="preserve"> kad</w:t>
      </w:r>
      <w:r w:rsidR="00BC250E">
        <w:t xml:space="preserve"> </w:t>
      </w:r>
      <w:r w:rsidR="00C0188C">
        <w:t>radijo dažn</w:t>
      </w:r>
      <w:r w:rsidR="00C0188C" w:rsidRPr="00A92ED6">
        <w:t>ių (kanalų) naudojimas pakeistomis sąlygomis neturi kelti žalingųjų trukdžių teisėtai veikiančioms radijo ryšio sistemoms ir kitiems teisėtiems radijo dažnių (kanalų) naudotojams.</w:t>
      </w:r>
    </w:p>
    <w:p w:rsidR="001603BA" w:rsidRDefault="001B7713" w:rsidP="001603BA">
      <w:pPr>
        <w:pStyle w:val="BodyTextIndent"/>
        <w:spacing w:line="240" w:lineRule="auto"/>
      </w:pPr>
      <w:r>
        <w:t>5</w:t>
      </w:r>
      <w:r w:rsidR="00F344E4">
        <w:t xml:space="preserve">. </w:t>
      </w:r>
      <w:r w:rsidR="00F344E4">
        <w:rPr>
          <w:spacing w:val="60"/>
        </w:rPr>
        <w:t>Pavedu</w:t>
      </w:r>
      <w:r w:rsidR="00F344E4">
        <w:t xml:space="preserve"> Tarnybos Radijo ryšio departamentui Taisyklių nustatyta tvarka ir sąlygomis </w:t>
      </w:r>
      <w:r w:rsidR="00845197">
        <w:t>pakeisti</w:t>
      </w:r>
      <w:r w:rsidR="007962E5">
        <w:t xml:space="preserve"> šio įsakymo 3 punkte nurodyt</w:t>
      </w:r>
      <w:r w:rsidR="00845197">
        <w:t xml:space="preserve">ų leidimų </w:t>
      </w:r>
      <w:r w:rsidR="007962E5">
        <w:t>radijo dažnių (kanalų) naudojimo sąlyg</w:t>
      </w:r>
      <w:r w:rsidR="00845197">
        <w:t>as</w:t>
      </w:r>
      <w:r w:rsidR="007962E5">
        <w:t>.</w:t>
      </w:r>
      <w:r w:rsidR="00F606F6">
        <w:t xml:space="preserve"> </w:t>
      </w:r>
    </w:p>
    <w:p w:rsidR="00F344E4" w:rsidRDefault="001B7713" w:rsidP="001603BA">
      <w:pPr>
        <w:pStyle w:val="BodyTextIndent"/>
        <w:tabs>
          <w:tab w:val="left" w:pos="993"/>
        </w:tabs>
        <w:spacing w:line="240" w:lineRule="auto"/>
      </w:pPr>
      <w:r>
        <w:t>6</w:t>
      </w:r>
      <w:r w:rsidR="00F344E4">
        <w:t xml:space="preserve">. </w:t>
      </w:r>
      <w:r w:rsidR="00F344E4">
        <w:rPr>
          <w:bCs/>
          <w:spacing w:val="100"/>
        </w:rPr>
        <w:t>Nuroda</w:t>
      </w:r>
      <w:r w:rsidR="00F344E4">
        <w:rPr>
          <w:lang w:eastAsia="lt-LT"/>
        </w:rPr>
        <w:t>u:</w:t>
      </w:r>
    </w:p>
    <w:p w:rsidR="00F344E4" w:rsidRDefault="001B7713" w:rsidP="001603BA">
      <w:pPr>
        <w:autoSpaceDE w:val="0"/>
        <w:autoSpaceDN w:val="0"/>
        <w:adjustRightInd w:val="0"/>
        <w:ind w:firstLine="720"/>
        <w:jc w:val="both"/>
      </w:pPr>
      <w:r>
        <w:t>6</w:t>
      </w:r>
      <w:r w:rsidR="00F344E4">
        <w:t xml:space="preserve">.1. išsiųsti šį įsakymą </w:t>
      </w:r>
      <w:r w:rsidR="00195810">
        <w:t>UAB „</w:t>
      </w:r>
      <w:r w:rsidR="00DF413F">
        <w:t>Tel</w:t>
      </w:r>
      <w:r w:rsidR="00195810">
        <w:t>e2“</w:t>
      </w:r>
      <w:r w:rsidR="00CE58FF">
        <w:t xml:space="preserve"> </w:t>
      </w:r>
      <w:r w:rsidR="00F344E4">
        <w:t>per 3 darbo dienas nuo šio įsakymo priėmimo dienos</w:t>
      </w:r>
      <w:r w:rsidR="00F344E4">
        <w:rPr>
          <w:bCs/>
        </w:rPr>
        <w:t>;</w:t>
      </w:r>
    </w:p>
    <w:p w:rsidR="00F344E4" w:rsidRDefault="001B7713" w:rsidP="001603BA">
      <w:pPr>
        <w:autoSpaceDE w:val="0"/>
        <w:autoSpaceDN w:val="0"/>
        <w:adjustRightInd w:val="0"/>
        <w:ind w:firstLine="720"/>
        <w:jc w:val="both"/>
      </w:pPr>
      <w:r>
        <w:t>6</w:t>
      </w:r>
      <w:r w:rsidR="00F344E4">
        <w:t>.2.</w:t>
      </w:r>
      <w:r w:rsidR="00F344E4">
        <w:rPr>
          <w:bCs/>
        </w:rPr>
        <w:t xml:space="preserve"> paskelbti šį įsakymą Tarnybos interneto svetainėje</w:t>
      </w:r>
      <w:r w:rsidR="00F344E4">
        <w:t>.</w:t>
      </w:r>
    </w:p>
    <w:p w:rsidR="00F344E4" w:rsidRDefault="001B7713" w:rsidP="001603B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F344E4">
        <w:t>.</w:t>
      </w:r>
      <w:r w:rsidR="00F344E4">
        <w:rPr>
          <w:spacing w:val="-20"/>
        </w:rPr>
        <w:t xml:space="preserve"> </w:t>
      </w:r>
      <w:r w:rsidR="00F344E4">
        <w:rPr>
          <w:spacing w:val="100"/>
        </w:rPr>
        <w:t>Išaiškin</w:t>
      </w:r>
      <w:r w:rsidR="00F344E4">
        <w:t>u, kad šis įsakymas gali būti skundžiamas Lietuvos Respublikos administracinių bylų teisenos įstatymo nustatyta tvarka ir sąlygomis.</w:t>
      </w: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p w:rsidR="00F344E4" w:rsidRDefault="00F344E4" w:rsidP="00F344E4">
      <w:pPr>
        <w:autoSpaceDE w:val="0"/>
        <w:autoSpaceDN w:val="0"/>
        <w:adjustRightInd w:val="0"/>
        <w:spacing w:line="270" w:lineRule="exact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4B1EBE" w:rsidRPr="004B1EBE" w:rsidTr="00CE2AFA">
        <w:tc>
          <w:tcPr>
            <w:tcW w:w="4927" w:type="dxa"/>
            <w:hideMark/>
          </w:tcPr>
          <w:p w:rsidR="00F344E4" w:rsidRDefault="00426EC2" w:rsidP="00426EC2">
            <w:pPr>
              <w:autoSpaceDE w:val="0"/>
              <w:autoSpaceDN w:val="0"/>
              <w:adjustRightInd w:val="0"/>
              <w:spacing w:line="270" w:lineRule="exact"/>
              <w:jc w:val="both"/>
            </w:pPr>
            <w:r>
              <w:t>D</w:t>
            </w:r>
            <w:r w:rsidR="00F344E4">
              <w:t>irektori</w:t>
            </w:r>
            <w:r w:rsidR="004B1EBE">
              <w:t>a</w:t>
            </w:r>
            <w:r w:rsidR="00F344E4">
              <w:t>us</w:t>
            </w:r>
            <w:r w:rsidR="004B1EBE">
              <w:t xml:space="preserve"> pa</w:t>
            </w:r>
            <w:r>
              <w:t>vaduotojas</w:t>
            </w:r>
          </w:p>
        </w:tc>
        <w:tc>
          <w:tcPr>
            <w:tcW w:w="4928" w:type="dxa"/>
            <w:shd w:val="clear" w:color="auto" w:fill="auto"/>
            <w:hideMark/>
          </w:tcPr>
          <w:p w:rsidR="00F344E4" w:rsidRPr="004B1EBE" w:rsidRDefault="006D60AC" w:rsidP="004B1EBE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 w:themeColor="text1"/>
              </w:rPr>
            </w:pPr>
            <w:r w:rsidRPr="002B774C">
              <w:rPr>
                <w:color w:val="FFFFFF" w:themeColor="background1"/>
              </w:rPr>
              <w:t>Mindaugas Žilinskas</w:t>
            </w:r>
          </w:p>
        </w:tc>
      </w:tr>
    </w:tbl>
    <w:p w:rsidR="004F76AE" w:rsidRPr="00F344E4" w:rsidRDefault="00F344E4" w:rsidP="00BE28D4">
      <w:pPr>
        <w:autoSpaceDE w:val="0"/>
        <w:autoSpaceDN w:val="0"/>
        <w:adjustRightInd w:val="0"/>
        <w:spacing w:line="270" w:lineRule="exact"/>
        <w:jc w:val="both"/>
      </w:pPr>
      <w:r>
        <w:tab/>
      </w:r>
      <w:r>
        <w:tab/>
      </w:r>
      <w:r>
        <w:tab/>
      </w:r>
      <w:r w:rsidRPr="003D2797">
        <w:rPr>
          <w:color w:val="FFFFFF" w:themeColor="background1"/>
        </w:rPr>
        <w:t>A.V.</w:t>
      </w:r>
    </w:p>
    <w:sectPr w:rsidR="004F76AE" w:rsidRPr="00F344E4" w:rsidSect="001603BA">
      <w:headerReference w:type="even" r:id="rId9"/>
      <w:headerReference w:type="default" r:id="rId10"/>
      <w:headerReference w:type="first" r:id="rId11"/>
      <w:pgSz w:w="11907" w:h="16840" w:code="9"/>
      <w:pgMar w:top="709" w:right="567" w:bottom="1135" w:left="1701" w:header="848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C0" w:rsidRDefault="006C42C0">
      <w:r>
        <w:separator/>
      </w:r>
    </w:p>
  </w:endnote>
  <w:endnote w:type="continuationSeparator" w:id="0">
    <w:p w:rsidR="006C42C0" w:rsidRDefault="006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C0" w:rsidRDefault="006C42C0">
      <w:r>
        <w:separator/>
      </w:r>
    </w:p>
  </w:footnote>
  <w:footnote w:type="continuationSeparator" w:id="0">
    <w:p w:rsidR="006C42C0" w:rsidRDefault="006C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5" w:rsidRDefault="00D65AA5">
    <w:pPr>
      <w:pStyle w:val="Header"/>
      <w:jc w:val="center"/>
    </w:pPr>
    <w:r>
      <w:t>2</w:t>
    </w:r>
  </w:p>
  <w:p w:rsidR="000465C9" w:rsidRDefault="000465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5" w:rsidRDefault="00D65AA5">
    <w:pPr>
      <w:pStyle w:val="Header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34" w:rsidRPr="00426FE5" w:rsidRDefault="00426FE5" w:rsidP="00426FE5">
    <w:pPr>
      <w:pStyle w:val="Header"/>
      <w:jc w:val="right"/>
      <w:rPr>
        <w:b/>
        <w:noProof/>
        <w:lang w:eastAsia="lt-LT"/>
      </w:rPr>
    </w:pPr>
    <w:r>
      <w:rPr>
        <w:b/>
        <w:noProof/>
        <w:sz w:val="20"/>
        <w:lang w:eastAsia="lt-LT"/>
      </w:rPr>
      <w:t>Projektas</w:t>
    </w:r>
  </w:p>
  <w:p w:rsidR="0076437D" w:rsidRDefault="0076437D" w:rsidP="006D0D0E">
    <w:pPr>
      <w:pStyle w:val="Header"/>
      <w:jc w:val="center"/>
      <w:rPr>
        <w:noProof/>
        <w:lang w:eastAsia="lt-LT"/>
      </w:rPr>
    </w:pPr>
  </w:p>
  <w:p w:rsidR="0076437D" w:rsidRDefault="0076437D" w:rsidP="006D0D0E">
    <w:pPr>
      <w:pStyle w:val="Header"/>
      <w:jc w:val="center"/>
      <w:rPr>
        <w:bCs/>
      </w:rPr>
    </w:pPr>
  </w:p>
  <w:p w:rsidR="00A86300" w:rsidRPr="002B5D65" w:rsidRDefault="00A86300" w:rsidP="00D638CF">
    <w:pPr>
      <w:pStyle w:val="Header"/>
      <w:jc w:val="right"/>
      <w:rPr>
        <w:bCs/>
        <w:color w:val="000000" w:themeColor="text1"/>
      </w:rPr>
    </w:pPr>
  </w:p>
  <w:p w:rsidR="00D638CF" w:rsidRPr="002B5D65" w:rsidRDefault="00D638CF" w:rsidP="00D638CF">
    <w:pPr>
      <w:pStyle w:val="Header"/>
      <w:jc w:val="right"/>
      <w:rPr>
        <w:b/>
        <w:bCs/>
        <w:color w:val="000000" w:themeColor="text1"/>
        <w:sz w:val="2"/>
      </w:rPr>
    </w:pPr>
  </w:p>
  <w:p w:rsidR="004C0CB4" w:rsidRPr="002B5D65" w:rsidRDefault="004C0CB4">
    <w:pPr>
      <w:pStyle w:val="Header"/>
      <w:jc w:val="center"/>
      <w:rPr>
        <w:b/>
        <w:color w:val="000000" w:themeColor="text1"/>
      </w:rPr>
    </w:pPr>
  </w:p>
  <w:p w:rsidR="00D65AA5" w:rsidRPr="002B5D65" w:rsidRDefault="00D65AA5">
    <w:pPr>
      <w:pStyle w:val="Header"/>
      <w:jc w:val="center"/>
      <w:rPr>
        <w:b/>
        <w:color w:val="000000" w:themeColor="text1"/>
      </w:rPr>
    </w:pPr>
    <w:r w:rsidRPr="002B5D65">
      <w:rPr>
        <w:b/>
        <w:color w:val="000000" w:themeColor="text1"/>
      </w:rPr>
      <w:t>LIETUVOS RESPUBLIKOS</w:t>
    </w:r>
  </w:p>
  <w:p w:rsidR="00D65AA5" w:rsidRPr="002B5D65" w:rsidRDefault="00D65AA5">
    <w:pPr>
      <w:pStyle w:val="Header"/>
      <w:jc w:val="center"/>
      <w:rPr>
        <w:b/>
        <w:color w:val="000000" w:themeColor="text1"/>
      </w:rPr>
    </w:pPr>
    <w:r w:rsidRPr="002B5D65">
      <w:rPr>
        <w:b/>
        <w:color w:val="000000" w:themeColor="text1"/>
      </w:rPr>
      <w:t>RYŠIŲ REGULIAVIMO TARNYBOS</w:t>
    </w:r>
  </w:p>
  <w:p w:rsidR="00D65AA5" w:rsidRPr="002B5D65" w:rsidRDefault="00D65AA5">
    <w:pPr>
      <w:pStyle w:val="Header"/>
      <w:jc w:val="center"/>
      <w:rPr>
        <w:b/>
        <w:color w:val="000000" w:themeColor="text1"/>
        <w:sz w:val="28"/>
      </w:rPr>
    </w:pPr>
    <w:r w:rsidRPr="002B5D65">
      <w:rPr>
        <w:b/>
        <w:color w:val="000000" w:themeColor="text1"/>
      </w:rPr>
      <w:t>DIREKTORIUS</w:t>
    </w:r>
  </w:p>
  <w:p w:rsidR="00D65AA5" w:rsidRPr="002D2FB9" w:rsidRDefault="00D65AA5" w:rsidP="001C71B5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910"/>
    <w:multiLevelType w:val="multilevel"/>
    <w:tmpl w:val="7136C662"/>
    <w:lvl w:ilvl="0">
      <w:start w:val="1"/>
      <w:numFmt w:val="decimal"/>
      <w:suff w:val="space"/>
      <w:lvlText w:val="%1."/>
      <w:lvlJc w:val="left"/>
      <w:pPr>
        <w:ind w:left="1440" w:hanging="144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EF26A5"/>
    <w:multiLevelType w:val="hybridMultilevel"/>
    <w:tmpl w:val="E452D49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D7A0B"/>
    <w:multiLevelType w:val="hybridMultilevel"/>
    <w:tmpl w:val="2BFCC77E"/>
    <w:lvl w:ilvl="0" w:tplc="E30C005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77BF3"/>
    <w:multiLevelType w:val="multilevel"/>
    <w:tmpl w:val="D3785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47A95F5C"/>
    <w:multiLevelType w:val="hybridMultilevel"/>
    <w:tmpl w:val="634245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93"/>
    <w:multiLevelType w:val="hybridMultilevel"/>
    <w:tmpl w:val="5C80F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F5BB8"/>
    <w:multiLevelType w:val="multilevel"/>
    <w:tmpl w:val="DD3E3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0793A97"/>
    <w:multiLevelType w:val="hybridMultilevel"/>
    <w:tmpl w:val="38AEE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90B17"/>
    <w:multiLevelType w:val="hybridMultilevel"/>
    <w:tmpl w:val="C68C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006CE"/>
    <w:rsid w:val="00003814"/>
    <w:rsid w:val="00005D10"/>
    <w:rsid w:val="00006188"/>
    <w:rsid w:val="000134FB"/>
    <w:rsid w:val="00014558"/>
    <w:rsid w:val="000150AF"/>
    <w:rsid w:val="00022C87"/>
    <w:rsid w:val="00045CE3"/>
    <w:rsid w:val="0004640F"/>
    <w:rsid w:val="000465C9"/>
    <w:rsid w:val="00050DCD"/>
    <w:rsid w:val="00057EBB"/>
    <w:rsid w:val="00064B98"/>
    <w:rsid w:val="0006518A"/>
    <w:rsid w:val="00066977"/>
    <w:rsid w:val="00067DAF"/>
    <w:rsid w:val="00073DA7"/>
    <w:rsid w:val="00075658"/>
    <w:rsid w:val="00090DE1"/>
    <w:rsid w:val="0009190B"/>
    <w:rsid w:val="0009444E"/>
    <w:rsid w:val="00096BD7"/>
    <w:rsid w:val="000A182C"/>
    <w:rsid w:val="000A37F8"/>
    <w:rsid w:val="000A42C4"/>
    <w:rsid w:val="000B13E9"/>
    <w:rsid w:val="000B2990"/>
    <w:rsid w:val="000B6394"/>
    <w:rsid w:val="000C079F"/>
    <w:rsid w:val="000C1C94"/>
    <w:rsid w:val="000C23D2"/>
    <w:rsid w:val="000D13B6"/>
    <w:rsid w:val="000D3F04"/>
    <w:rsid w:val="000D4FCC"/>
    <w:rsid w:val="000D5CF7"/>
    <w:rsid w:val="000D70DC"/>
    <w:rsid w:val="000F2E4F"/>
    <w:rsid w:val="000F3BE8"/>
    <w:rsid w:val="000F40FF"/>
    <w:rsid w:val="00101520"/>
    <w:rsid w:val="001079EB"/>
    <w:rsid w:val="001217C6"/>
    <w:rsid w:val="00131C6E"/>
    <w:rsid w:val="00132861"/>
    <w:rsid w:val="00137BAD"/>
    <w:rsid w:val="001434F9"/>
    <w:rsid w:val="001438EE"/>
    <w:rsid w:val="00145D8D"/>
    <w:rsid w:val="00147366"/>
    <w:rsid w:val="00147A25"/>
    <w:rsid w:val="00153641"/>
    <w:rsid w:val="00153914"/>
    <w:rsid w:val="00156041"/>
    <w:rsid w:val="001603BA"/>
    <w:rsid w:val="00160AEE"/>
    <w:rsid w:val="00164C16"/>
    <w:rsid w:val="00171CE5"/>
    <w:rsid w:val="00173775"/>
    <w:rsid w:val="001753FB"/>
    <w:rsid w:val="001770D7"/>
    <w:rsid w:val="00195810"/>
    <w:rsid w:val="001A2410"/>
    <w:rsid w:val="001A2E8C"/>
    <w:rsid w:val="001A3748"/>
    <w:rsid w:val="001B1E77"/>
    <w:rsid w:val="001B652B"/>
    <w:rsid w:val="001B7713"/>
    <w:rsid w:val="001B7953"/>
    <w:rsid w:val="001C2352"/>
    <w:rsid w:val="001C51FD"/>
    <w:rsid w:val="001C537B"/>
    <w:rsid w:val="001C71B5"/>
    <w:rsid w:val="001C7C28"/>
    <w:rsid w:val="001D229C"/>
    <w:rsid w:val="001D3E08"/>
    <w:rsid w:val="001F2646"/>
    <w:rsid w:val="001F3439"/>
    <w:rsid w:val="00213054"/>
    <w:rsid w:val="00214459"/>
    <w:rsid w:val="00221009"/>
    <w:rsid w:val="00234564"/>
    <w:rsid w:val="00234DB7"/>
    <w:rsid w:val="00237D7F"/>
    <w:rsid w:val="00255CAE"/>
    <w:rsid w:val="00256034"/>
    <w:rsid w:val="0026082F"/>
    <w:rsid w:val="002656DE"/>
    <w:rsid w:val="0026585E"/>
    <w:rsid w:val="00266688"/>
    <w:rsid w:val="0027022B"/>
    <w:rsid w:val="00271FD9"/>
    <w:rsid w:val="00273DDD"/>
    <w:rsid w:val="00275D44"/>
    <w:rsid w:val="00286812"/>
    <w:rsid w:val="00286C8B"/>
    <w:rsid w:val="00290C1E"/>
    <w:rsid w:val="00295D67"/>
    <w:rsid w:val="002B06C6"/>
    <w:rsid w:val="002B4335"/>
    <w:rsid w:val="002B5D65"/>
    <w:rsid w:val="002B774C"/>
    <w:rsid w:val="002C13D0"/>
    <w:rsid w:val="002C2090"/>
    <w:rsid w:val="002C2FE3"/>
    <w:rsid w:val="002D0E3F"/>
    <w:rsid w:val="002D2FB9"/>
    <w:rsid w:val="002D3BFB"/>
    <w:rsid w:val="002E3891"/>
    <w:rsid w:val="002E3E0C"/>
    <w:rsid w:val="002E548B"/>
    <w:rsid w:val="002E6FCD"/>
    <w:rsid w:val="002F27C8"/>
    <w:rsid w:val="002F2866"/>
    <w:rsid w:val="003039E0"/>
    <w:rsid w:val="00303E14"/>
    <w:rsid w:val="00306103"/>
    <w:rsid w:val="0030672F"/>
    <w:rsid w:val="003131E2"/>
    <w:rsid w:val="00316CB1"/>
    <w:rsid w:val="0032272F"/>
    <w:rsid w:val="00325986"/>
    <w:rsid w:val="00337159"/>
    <w:rsid w:val="00341844"/>
    <w:rsid w:val="00341862"/>
    <w:rsid w:val="00342EB8"/>
    <w:rsid w:val="00350D0A"/>
    <w:rsid w:val="00350D6B"/>
    <w:rsid w:val="00353D7D"/>
    <w:rsid w:val="00361706"/>
    <w:rsid w:val="00374BF6"/>
    <w:rsid w:val="003764B2"/>
    <w:rsid w:val="003779E0"/>
    <w:rsid w:val="00380F9B"/>
    <w:rsid w:val="00387506"/>
    <w:rsid w:val="00391F85"/>
    <w:rsid w:val="00394C9E"/>
    <w:rsid w:val="003A5275"/>
    <w:rsid w:val="003B050D"/>
    <w:rsid w:val="003B2569"/>
    <w:rsid w:val="003B31D6"/>
    <w:rsid w:val="003B404E"/>
    <w:rsid w:val="003B5856"/>
    <w:rsid w:val="003B7536"/>
    <w:rsid w:val="003C084C"/>
    <w:rsid w:val="003C7B11"/>
    <w:rsid w:val="003D16F4"/>
    <w:rsid w:val="003D2797"/>
    <w:rsid w:val="003E20B9"/>
    <w:rsid w:val="003E4DF3"/>
    <w:rsid w:val="003E5A71"/>
    <w:rsid w:val="003F3C7F"/>
    <w:rsid w:val="00402AC4"/>
    <w:rsid w:val="00405D37"/>
    <w:rsid w:val="00406CC4"/>
    <w:rsid w:val="0041799A"/>
    <w:rsid w:val="00426EC2"/>
    <w:rsid w:val="00426FE5"/>
    <w:rsid w:val="00444271"/>
    <w:rsid w:val="00447171"/>
    <w:rsid w:val="00461435"/>
    <w:rsid w:val="004670C6"/>
    <w:rsid w:val="0047686E"/>
    <w:rsid w:val="00477D7A"/>
    <w:rsid w:val="00483478"/>
    <w:rsid w:val="0048682F"/>
    <w:rsid w:val="0048744A"/>
    <w:rsid w:val="00493136"/>
    <w:rsid w:val="004A07B0"/>
    <w:rsid w:val="004A0DF8"/>
    <w:rsid w:val="004A1990"/>
    <w:rsid w:val="004A31B4"/>
    <w:rsid w:val="004B1EBE"/>
    <w:rsid w:val="004B355B"/>
    <w:rsid w:val="004B5971"/>
    <w:rsid w:val="004B71F6"/>
    <w:rsid w:val="004C0CB4"/>
    <w:rsid w:val="004C48D9"/>
    <w:rsid w:val="004C5C7D"/>
    <w:rsid w:val="004C63ED"/>
    <w:rsid w:val="004D3406"/>
    <w:rsid w:val="004D6407"/>
    <w:rsid w:val="004E51D7"/>
    <w:rsid w:val="004F146A"/>
    <w:rsid w:val="004F4241"/>
    <w:rsid w:val="004F76AE"/>
    <w:rsid w:val="00500F3E"/>
    <w:rsid w:val="00502CE4"/>
    <w:rsid w:val="00516C59"/>
    <w:rsid w:val="005358DF"/>
    <w:rsid w:val="00537A2E"/>
    <w:rsid w:val="005447C3"/>
    <w:rsid w:val="0055081D"/>
    <w:rsid w:val="005542F5"/>
    <w:rsid w:val="005610A6"/>
    <w:rsid w:val="005645B9"/>
    <w:rsid w:val="0057168C"/>
    <w:rsid w:val="0057277A"/>
    <w:rsid w:val="00581932"/>
    <w:rsid w:val="00585C28"/>
    <w:rsid w:val="00587280"/>
    <w:rsid w:val="005900D6"/>
    <w:rsid w:val="00590C8C"/>
    <w:rsid w:val="00594D8B"/>
    <w:rsid w:val="005A5807"/>
    <w:rsid w:val="005A6ED4"/>
    <w:rsid w:val="005B1A04"/>
    <w:rsid w:val="005B416A"/>
    <w:rsid w:val="005D066F"/>
    <w:rsid w:val="005E1923"/>
    <w:rsid w:val="005E6C77"/>
    <w:rsid w:val="005F10BA"/>
    <w:rsid w:val="005F204B"/>
    <w:rsid w:val="005F52D3"/>
    <w:rsid w:val="005F5731"/>
    <w:rsid w:val="005F57A3"/>
    <w:rsid w:val="006209EF"/>
    <w:rsid w:val="00625931"/>
    <w:rsid w:val="00626C00"/>
    <w:rsid w:val="0062778A"/>
    <w:rsid w:val="00630E03"/>
    <w:rsid w:val="006332B5"/>
    <w:rsid w:val="006344C9"/>
    <w:rsid w:val="006438DA"/>
    <w:rsid w:val="00647085"/>
    <w:rsid w:val="0066153A"/>
    <w:rsid w:val="00671B30"/>
    <w:rsid w:val="0067385D"/>
    <w:rsid w:val="006749D8"/>
    <w:rsid w:val="00677F5C"/>
    <w:rsid w:val="006830EF"/>
    <w:rsid w:val="00684C25"/>
    <w:rsid w:val="00685DFB"/>
    <w:rsid w:val="00687E1A"/>
    <w:rsid w:val="00694868"/>
    <w:rsid w:val="00695C3B"/>
    <w:rsid w:val="006960AA"/>
    <w:rsid w:val="006B446D"/>
    <w:rsid w:val="006B716C"/>
    <w:rsid w:val="006C42C0"/>
    <w:rsid w:val="006C7A9B"/>
    <w:rsid w:val="006D0D0E"/>
    <w:rsid w:val="006D60AC"/>
    <w:rsid w:val="006E02C6"/>
    <w:rsid w:val="006E577C"/>
    <w:rsid w:val="006F1167"/>
    <w:rsid w:val="006F1475"/>
    <w:rsid w:val="006F26C8"/>
    <w:rsid w:val="006F3B63"/>
    <w:rsid w:val="006F48C8"/>
    <w:rsid w:val="006F51C3"/>
    <w:rsid w:val="00711853"/>
    <w:rsid w:val="00711BFA"/>
    <w:rsid w:val="0071725C"/>
    <w:rsid w:val="00726001"/>
    <w:rsid w:val="0072605B"/>
    <w:rsid w:val="007430B3"/>
    <w:rsid w:val="00744E92"/>
    <w:rsid w:val="007557C8"/>
    <w:rsid w:val="0076437D"/>
    <w:rsid w:val="00766C1D"/>
    <w:rsid w:val="007675E0"/>
    <w:rsid w:val="007705D1"/>
    <w:rsid w:val="00780049"/>
    <w:rsid w:val="007812B3"/>
    <w:rsid w:val="00782357"/>
    <w:rsid w:val="00785428"/>
    <w:rsid w:val="007875E2"/>
    <w:rsid w:val="0079157D"/>
    <w:rsid w:val="007962E5"/>
    <w:rsid w:val="00796710"/>
    <w:rsid w:val="007A0E8D"/>
    <w:rsid w:val="007A68E2"/>
    <w:rsid w:val="007B4F35"/>
    <w:rsid w:val="007B7965"/>
    <w:rsid w:val="007C5784"/>
    <w:rsid w:val="007D4938"/>
    <w:rsid w:val="007D53A4"/>
    <w:rsid w:val="007E57B2"/>
    <w:rsid w:val="007F1A64"/>
    <w:rsid w:val="007F7E76"/>
    <w:rsid w:val="00810A28"/>
    <w:rsid w:val="008175E2"/>
    <w:rsid w:val="0082201D"/>
    <w:rsid w:val="008228D5"/>
    <w:rsid w:val="00823045"/>
    <w:rsid w:val="00823391"/>
    <w:rsid w:val="00832178"/>
    <w:rsid w:val="008352A3"/>
    <w:rsid w:val="008426A4"/>
    <w:rsid w:val="00845197"/>
    <w:rsid w:val="00846D1B"/>
    <w:rsid w:val="008471F4"/>
    <w:rsid w:val="00850EB4"/>
    <w:rsid w:val="00856893"/>
    <w:rsid w:val="008605B9"/>
    <w:rsid w:val="00863EF8"/>
    <w:rsid w:val="00866489"/>
    <w:rsid w:val="0087439A"/>
    <w:rsid w:val="008825A2"/>
    <w:rsid w:val="00885420"/>
    <w:rsid w:val="008862F1"/>
    <w:rsid w:val="00894F60"/>
    <w:rsid w:val="0089739F"/>
    <w:rsid w:val="008A00E5"/>
    <w:rsid w:val="008B0FE3"/>
    <w:rsid w:val="008C0AB3"/>
    <w:rsid w:val="008C589A"/>
    <w:rsid w:val="008D07C2"/>
    <w:rsid w:val="008D60EE"/>
    <w:rsid w:val="008E1A53"/>
    <w:rsid w:val="008E6BC1"/>
    <w:rsid w:val="008E748A"/>
    <w:rsid w:val="008F6FC9"/>
    <w:rsid w:val="00907695"/>
    <w:rsid w:val="00913702"/>
    <w:rsid w:val="00917C59"/>
    <w:rsid w:val="00920C90"/>
    <w:rsid w:val="00921C0D"/>
    <w:rsid w:val="00924EB1"/>
    <w:rsid w:val="00925846"/>
    <w:rsid w:val="00927695"/>
    <w:rsid w:val="00931AB3"/>
    <w:rsid w:val="00934C53"/>
    <w:rsid w:val="009366D4"/>
    <w:rsid w:val="009378AD"/>
    <w:rsid w:val="00946D1C"/>
    <w:rsid w:val="00955E8B"/>
    <w:rsid w:val="0096284E"/>
    <w:rsid w:val="0096516C"/>
    <w:rsid w:val="0096675E"/>
    <w:rsid w:val="0097597F"/>
    <w:rsid w:val="009862A5"/>
    <w:rsid w:val="00990997"/>
    <w:rsid w:val="00995EF2"/>
    <w:rsid w:val="009A4FBB"/>
    <w:rsid w:val="009B0F5B"/>
    <w:rsid w:val="009B6380"/>
    <w:rsid w:val="009B726D"/>
    <w:rsid w:val="009D14AA"/>
    <w:rsid w:val="009D184C"/>
    <w:rsid w:val="009D7034"/>
    <w:rsid w:val="009E046A"/>
    <w:rsid w:val="009E2611"/>
    <w:rsid w:val="009E2B7B"/>
    <w:rsid w:val="009E57B2"/>
    <w:rsid w:val="009E59C1"/>
    <w:rsid w:val="009F4573"/>
    <w:rsid w:val="00A071DE"/>
    <w:rsid w:val="00A12B1C"/>
    <w:rsid w:val="00A14920"/>
    <w:rsid w:val="00A17862"/>
    <w:rsid w:val="00A202F8"/>
    <w:rsid w:val="00A23391"/>
    <w:rsid w:val="00A2424D"/>
    <w:rsid w:val="00A2491B"/>
    <w:rsid w:val="00A2497F"/>
    <w:rsid w:val="00A369DD"/>
    <w:rsid w:val="00A36C64"/>
    <w:rsid w:val="00A379C5"/>
    <w:rsid w:val="00A40788"/>
    <w:rsid w:val="00A40B32"/>
    <w:rsid w:val="00A41224"/>
    <w:rsid w:val="00A4533E"/>
    <w:rsid w:val="00A50025"/>
    <w:rsid w:val="00A74302"/>
    <w:rsid w:val="00A74E11"/>
    <w:rsid w:val="00A758C2"/>
    <w:rsid w:val="00A75EFD"/>
    <w:rsid w:val="00A76D1E"/>
    <w:rsid w:val="00A86300"/>
    <w:rsid w:val="00A87216"/>
    <w:rsid w:val="00A87436"/>
    <w:rsid w:val="00AA2E1D"/>
    <w:rsid w:val="00AA4244"/>
    <w:rsid w:val="00AA5A20"/>
    <w:rsid w:val="00AA6FBC"/>
    <w:rsid w:val="00AB3015"/>
    <w:rsid w:val="00AB55EE"/>
    <w:rsid w:val="00AB7BE3"/>
    <w:rsid w:val="00AC3A4A"/>
    <w:rsid w:val="00AC5FAE"/>
    <w:rsid w:val="00AE2609"/>
    <w:rsid w:val="00AE2758"/>
    <w:rsid w:val="00AE2BB1"/>
    <w:rsid w:val="00AE3E4E"/>
    <w:rsid w:val="00AE484F"/>
    <w:rsid w:val="00AE7DF1"/>
    <w:rsid w:val="00AF5A2F"/>
    <w:rsid w:val="00B07AE3"/>
    <w:rsid w:val="00B07BFB"/>
    <w:rsid w:val="00B115C7"/>
    <w:rsid w:val="00B151A7"/>
    <w:rsid w:val="00B201DF"/>
    <w:rsid w:val="00B231B0"/>
    <w:rsid w:val="00B25D99"/>
    <w:rsid w:val="00B37CC2"/>
    <w:rsid w:val="00B37F4F"/>
    <w:rsid w:val="00B40877"/>
    <w:rsid w:val="00B425AA"/>
    <w:rsid w:val="00B428D1"/>
    <w:rsid w:val="00B5009B"/>
    <w:rsid w:val="00B53898"/>
    <w:rsid w:val="00B55CE8"/>
    <w:rsid w:val="00B63405"/>
    <w:rsid w:val="00B73C93"/>
    <w:rsid w:val="00B80F5B"/>
    <w:rsid w:val="00B815A5"/>
    <w:rsid w:val="00B82C0B"/>
    <w:rsid w:val="00B84302"/>
    <w:rsid w:val="00B86511"/>
    <w:rsid w:val="00B87834"/>
    <w:rsid w:val="00B9099B"/>
    <w:rsid w:val="00B941A2"/>
    <w:rsid w:val="00BA3A0F"/>
    <w:rsid w:val="00BA645E"/>
    <w:rsid w:val="00BB1C18"/>
    <w:rsid w:val="00BB7F19"/>
    <w:rsid w:val="00BC0A81"/>
    <w:rsid w:val="00BC250E"/>
    <w:rsid w:val="00BC4806"/>
    <w:rsid w:val="00BD02EA"/>
    <w:rsid w:val="00BD1FEE"/>
    <w:rsid w:val="00BD3EDD"/>
    <w:rsid w:val="00BD6642"/>
    <w:rsid w:val="00BD78E9"/>
    <w:rsid w:val="00BE107E"/>
    <w:rsid w:val="00BE28D4"/>
    <w:rsid w:val="00BE3378"/>
    <w:rsid w:val="00BE47E5"/>
    <w:rsid w:val="00BF00D0"/>
    <w:rsid w:val="00BF1D4C"/>
    <w:rsid w:val="00C0188C"/>
    <w:rsid w:val="00C10600"/>
    <w:rsid w:val="00C11507"/>
    <w:rsid w:val="00C13CA9"/>
    <w:rsid w:val="00C177E2"/>
    <w:rsid w:val="00C202BF"/>
    <w:rsid w:val="00C36038"/>
    <w:rsid w:val="00C4489D"/>
    <w:rsid w:val="00C44E5B"/>
    <w:rsid w:val="00C47A8F"/>
    <w:rsid w:val="00C50F4E"/>
    <w:rsid w:val="00C5151A"/>
    <w:rsid w:val="00C60261"/>
    <w:rsid w:val="00C638CD"/>
    <w:rsid w:val="00C71B6C"/>
    <w:rsid w:val="00C72DED"/>
    <w:rsid w:val="00C75AB5"/>
    <w:rsid w:val="00C8350F"/>
    <w:rsid w:val="00C83AF1"/>
    <w:rsid w:val="00C85CC9"/>
    <w:rsid w:val="00C85E20"/>
    <w:rsid w:val="00C95ABB"/>
    <w:rsid w:val="00C9603B"/>
    <w:rsid w:val="00CA23F2"/>
    <w:rsid w:val="00CA3E11"/>
    <w:rsid w:val="00CA425D"/>
    <w:rsid w:val="00CA4ECD"/>
    <w:rsid w:val="00CA5A9B"/>
    <w:rsid w:val="00CA74FD"/>
    <w:rsid w:val="00CB1FE9"/>
    <w:rsid w:val="00CC3CBE"/>
    <w:rsid w:val="00CC3F0C"/>
    <w:rsid w:val="00CD13E1"/>
    <w:rsid w:val="00CD382E"/>
    <w:rsid w:val="00CD3839"/>
    <w:rsid w:val="00CD3887"/>
    <w:rsid w:val="00CE2AFA"/>
    <w:rsid w:val="00CE58FF"/>
    <w:rsid w:val="00CF0B09"/>
    <w:rsid w:val="00D03D22"/>
    <w:rsid w:val="00D06DFF"/>
    <w:rsid w:val="00D1010D"/>
    <w:rsid w:val="00D128FB"/>
    <w:rsid w:val="00D134BB"/>
    <w:rsid w:val="00D140B2"/>
    <w:rsid w:val="00D15C47"/>
    <w:rsid w:val="00D1625D"/>
    <w:rsid w:val="00D23939"/>
    <w:rsid w:val="00D23A47"/>
    <w:rsid w:val="00D27080"/>
    <w:rsid w:val="00D278B3"/>
    <w:rsid w:val="00D327F7"/>
    <w:rsid w:val="00D33531"/>
    <w:rsid w:val="00D36670"/>
    <w:rsid w:val="00D44F90"/>
    <w:rsid w:val="00D50A9A"/>
    <w:rsid w:val="00D5378E"/>
    <w:rsid w:val="00D537AE"/>
    <w:rsid w:val="00D60DC2"/>
    <w:rsid w:val="00D61FE6"/>
    <w:rsid w:val="00D638CF"/>
    <w:rsid w:val="00D63DED"/>
    <w:rsid w:val="00D65AA5"/>
    <w:rsid w:val="00D70F27"/>
    <w:rsid w:val="00D7231B"/>
    <w:rsid w:val="00D73062"/>
    <w:rsid w:val="00D77645"/>
    <w:rsid w:val="00D84973"/>
    <w:rsid w:val="00D8714C"/>
    <w:rsid w:val="00D93D8D"/>
    <w:rsid w:val="00DA5A4B"/>
    <w:rsid w:val="00DB3185"/>
    <w:rsid w:val="00DB6423"/>
    <w:rsid w:val="00DE27F0"/>
    <w:rsid w:val="00DE50C0"/>
    <w:rsid w:val="00DF3078"/>
    <w:rsid w:val="00DF413F"/>
    <w:rsid w:val="00E004FB"/>
    <w:rsid w:val="00E06517"/>
    <w:rsid w:val="00E1004C"/>
    <w:rsid w:val="00E108F8"/>
    <w:rsid w:val="00E14CEB"/>
    <w:rsid w:val="00E2347A"/>
    <w:rsid w:val="00E3392C"/>
    <w:rsid w:val="00E33A9F"/>
    <w:rsid w:val="00E405D4"/>
    <w:rsid w:val="00E415E2"/>
    <w:rsid w:val="00E41ADB"/>
    <w:rsid w:val="00E41F6B"/>
    <w:rsid w:val="00E46D8D"/>
    <w:rsid w:val="00E52428"/>
    <w:rsid w:val="00E530C3"/>
    <w:rsid w:val="00E5749F"/>
    <w:rsid w:val="00E633ED"/>
    <w:rsid w:val="00E972B0"/>
    <w:rsid w:val="00EA10C2"/>
    <w:rsid w:val="00EA26EB"/>
    <w:rsid w:val="00EA447F"/>
    <w:rsid w:val="00EA6F5E"/>
    <w:rsid w:val="00EB3B56"/>
    <w:rsid w:val="00EC1179"/>
    <w:rsid w:val="00EC4545"/>
    <w:rsid w:val="00EC5D38"/>
    <w:rsid w:val="00EC6607"/>
    <w:rsid w:val="00EC7501"/>
    <w:rsid w:val="00ED5CF4"/>
    <w:rsid w:val="00ED6DE3"/>
    <w:rsid w:val="00EE411F"/>
    <w:rsid w:val="00EE50BA"/>
    <w:rsid w:val="00EE74C6"/>
    <w:rsid w:val="00EE7B2E"/>
    <w:rsid w:val="00EF3897"/>
    <w:rsid w:val="00EF7696"/>
    <w:rsid w:val="00F008A3"/>
    <w:rsid w:val="00F02695"/>
    <w:rsid w:val="00F030E1"/>
    <w:rsid w:val="00F03A7D"/>
    <w:rsid w:val="00F154C2"/>
    <w:rsid w:val="00F164E0"/>
    <w:rsid w:val="00F221DB"/>
    <w:rsid w:val="00F25032"/>
    <w:rsid w:val="00F344E4"/>
    <w:rsid w:val="00F43538"/>
    <w:rsid w:val="00F43CD7"/>
    <w:rsid w:val="00F44AF2"/>
    <w:rsid w:val="00F45F66"/>
    <w:rsid w:val="00F60336"/>
    <w:rsid w:val="00F606F6"/>
    <w:rsid w:val="00F63D4A"/>
    <w:rsid w:val="00F73AE4"/>
    <w:rsid w:val="00F81F93"/>
    <w:rsid w:val="00F91C89"/>
    <w:rsid w:val="00F95463"/>
    <w:rsid w:val="00F96055"/>
    <w:rsid w:val="00F97E11"/>
    <w:rsid w:val="00FA55ED"/>
    <w:rsid w:val="00FB329B"/>
    <w:rsid w:val="00FB715B"/>
    <w:rsid w:val="00FB79C5"/>
    <w:rsid w:val="00FC12BA"/>
    <w:rsid w:val="00FC1D48"/>
    <w:rsid w:val="00FC241F"/>
    <w:rsid w:val="00FC278F"/>
    <w:rsid w:val="00FD1B11"/>
    <w:rsid w:val="00FD4A63"/>
    <w:rsid w:val="00FE154B"/>
    <w:rsid w:val="00FE722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4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Normal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CommentReference">
    <w:name w:val="annotation reference"/>
    <w:rsid w:val="008D6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EE"/>
    <w:rPr>
      <w:sz w:val="20"/>
      <w:szCs w:val="20"/>
    </w:rPr>
  </w:style>
  <w:style w:type="character" w:customStyle="1" w:styleId="CommentTextChar">
    <w:name w:val="Comment Text Char"/>
    <w:link w:val="CommentText"/>
    <w:rsid w:val="008D60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0EE"/>
    <w:rPr>
      <w:b/>
      <w:bCs/>
    </w:rPr>
  </w:style>
  <w:style w:type="character" w:customStyle="1" w:styleId="CommentSubjectChar">
    <w:name w:val="Comment Subject Char"/>
    <w:link w:val="CommentSubject"/>
    <w:rsid w:val="008D60EE"/>
    <w:rPr>
      <w:b/>
      <w:bCs/>
      <w:lang w:eastAsia="en-US"/>
    </w:rPr>
  </w:style>
  <w:style w:type="character" w:customStyle="1" w:styleId="TitleChar">
    <w:name w:val="Title Char"/>
    <w:link w:val="Title"/>
    <w:rsid w:val="00F344E4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F344E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C589A"/>
    <w:pPr>
      <w:spacing w:after="120"/>
    </w:pPr>
  </w:style>
  <w:style w:type="character" w:customStyle="1" w:styleId="BodyTextChar">
    <w:name w:val="Body Text Char"/>
    <w:link w:val="BodyText"/>
    <w:rsid w:val="008C589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8C589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4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Normal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CommentReference">
    <w:name w:val="annotation reference"/>
    <w:rsid w:val="008D6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EE"/>
    <w:rPr>
      <w:sz w:val="20"/>
      <w:szCs w:val="20"/>
    </w:rPr>
  </w:style>
  <w:style w:type="character" w:customStyle="1" w:styleId="CommentTextChar">
    <w:name w:val="Comment Text Char"/>
    <w:link w:val="CommentText"/>
    <w:rsid w:val="008D60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0EE"/>
    <w:rPr>
      <w:b/>
      <w:bCs/>
    </w:rPr>
  </w:style>
  <w:style w:type="character" w:customStyle="1" w:styleId="CommentSubjectChar">
    <w:name w:val="Comment Subject Char"/>
    <w:link w:val="CommentSubject"/>
    <w:rsid w:val="008D60EE"/>
    <w:rPr>
      <w:b/>
      <w:bCs/>
      <w:lang w:eastAsia="en-US"/>
    </w:rPr>
  </w:style>
  <w:style w:type="character" w:customStyle="1" w:styleId="TitleChar">
    <w:name w:val="Title Char"/>
    <w:link w:val="Title"/>
    <w:rsid w:val="00F344E4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F344E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C589A"/>
    <w:pPr>
      <w:spacing w:after="120"/>
    </w:pPr>
  </w:style>
  <w:style w:type="character" w:customStyle="1" w:styleId="BodyTextChar">
    <w:name w:val="Body Text Char"/>
    <w:link w:val="BodyText"/>
    <w:rsid w:val="008C589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8C58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8837-C29E-42FC-859F-06CCB48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3271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Ryšių reguliavimo tarnyba prie LRV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Leta Gedutienė</dc:creator>
  <cp:lastModifiedBy>Leta Gedutiene</cp:lastModifiedBy>
  <cp:revision>8</cp:revision>
  <cp:lastPrinted>2017-07-10T10:45:00Z</cp:lastPrinted>
  <dcterms:created xsi:type="dcterms:W3CDTF">2019-07-23T09:01:00Z</dcterms:created>
  <dcterms:modified xsi:type="dcterms:W3CDTF">2019-07-23T10:21:00Z</dcterms:modified>
</cp:coreProperties>
</file>