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549A2" w14:textId="2FC61E5C" w:rsidR="009309B1"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it-IT" w:eastAsia="it-IT"/>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lang w:val="en-GB"/>
        </w:rPr>
        <w:t xml:space="preserve">Comments on ECC Deliverable </w:t>
      </w:r>
    </w:p>
    <w:p w14:paraId="4CB6B50D" w14:textId="5826F6E8" w:rsidR="001C0B2C" w:rsidRPr="00671CDB" w:rsidRDefault="001C0B2C" w:rsidP="6DBEF6E5">
      <w:pPr>
        <w:jc w:val="center"/>
        <w:rPr>
          <w:rFonts w:ascii="Arial" w:hAnsi="Arial" w:cs="Arial"/>
          <w:b/>
          <w:bCs/>
          <w:sz w:val="32"/>
          <w:szCs w:val="32"/>
          <w:lang w:val="en-GB"/>
        </w:rPr>
      </w:pPr>
      <w:r w:rsidRPr="00671CDB">
        <w:rPr>
          <w:rFonts w:ascii="Arial" w:hAnsi="Arial" w:cs="Arial"/>
          <w:b/>
          <w:bCs/>
          <w:sz w:val="32"/>
          <w:szCs w:val="32"/>
          <w:lang w:val="en-GB"/>
        </w:rPr>
        <w:t xml:space="preserve">“Draft </w:t>
      </w:r>
      <w:r w:rsidR="005B0BAA" w:rsidRPr="00671CDB">
        <w:rPr>
          <w:rFonts w:ascii="Arial" w:hAnsi="Arial" w:cs="Arial"/>
          <w:b/>
          <w:bCs/>
          <w:sz w:val="32"/>
          <w:szCs w:val="32"/>
          <w:lang w:val="en-GB"/>
        </w:rPr>
        <w:t>ECC</w:t>
      </w:r>
      <w:r w:rsidR="0074480B">
        <w:rPr>
          <w:rFonts w:ascii="Arial" w:hAnsi="Arial" w:cs="Arial"/>
          <w:b/>
          <w:bCs/>
          <w:sz w:val="32"/>
          <w:szCs w:val="32"/>
          <w:lang w:val="en-GB"/>
        </w:rPr>
        <w:t xml:space="preserve"> Report 358</w:t>
      </w:r>
      <w:r w:rsidRPr="00671CDB">
        <w:rPr>
          <w:rFonts w:ascii="Arial" w:hAnsi="Arial" w:cs="Arial"/>
          <w:b/>
          <w:bCs/>
          <w:sz w:val="32"/>
          <w:szCs w:val="32"/>
          <w:lang w:val="en-GB"/>
        </w:rPr>
        <w:t>”</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41CFA80E" w:rsidR="00406AE0" w:rsidRPr="00151940" w:rsidRDefault="00686F27" w:rsidP="009309B1">
      <w:pPr>
        <w:rPr>
          <w:rFonts w:ascii="Arial" w:hAnsi="Arial" w:cs="Arial"/>
          <w:b/>
          <w:lang w:val="en-GB"/>
        </w:rPr>
      </w:pPr>
      <w:r w:rsidRPr="00151940">
        <w:rPr>
          <w:rFonts w:ascii="Arial" w:hAnsi="Arial" w:cs="Arial"/>
          <w:b/>
          <w:lang w:val="en-GB"/>
        </w:rPr>
        <w:t>Entity:</w:t>
      </w:r>
      <w:r w:rsidR="0074480B">
        <w:rPr>
          <w:rFonts w:ascii="Arial" w:hAnsi="Arial" w:cs="Arial"/>
          <w:b/>
          <w:lang w:val="en-GB"/>
        </w:rPr>
        <w:t xml:space="preserve"> </w:t>
      </w:r>
      <w:r w:rsidR="001523F2">
        <w:rPr>
          <w:rFonts w:ascii="Arial" w:hAnsi="Arial" w:cs="Arial"/>
          <w:b/>
          <w:lang w:val="en-GB"/>
        </w:rPr>
        <w:t>Administration Italy – Ministry of Enterprises and Made in Italy</w:t>
      </w:r>
    </w:p>
    <w:p w14:paraId="40DBE632" w14:textId="7B705BBE" w:rsidR="00686F27" w:rsidRPr="00151940" w:rsidRDefault="00686F27" w:rsidP="63DE9993">
      <w:pPr>
        <w:rPr>
          <w:rFonts w:ascii="Arial" w:hAnsi="Arial" w:cs="Arial"/>
          <w:b/>
          <w:bCs/>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74480B">
        <w:rPr>
          <w:rFonts w:ascii="Arial" w:hAnsi="Arial" w:cs="Arial"/>
          <w:b/>
          <w:bCs/>
          <w:lang w:val="en-GB"/>
        </w:rPr>
        <w:t xml:space="preserve"> </w:t>
      </w:r>
      <w:r w:rsidR="001523F2">
        <w:rPr>
          <w:rFonts w:ascii="Arial" w:hAnsi="Arial" w:cs="Arial"/>
          <w:b/>
          <w:bCs/>
          <w:lang w:val="en-GB"/>
        </w:rPr>
        <w:t>Simona Morrone</w:t>
      </w:r>
    </w:p>
    <w:p w14:paraId="4F1ADD29" w14:textId="74C71BCC" w:rsidR="00686F27" w:rsidRDefault="00686F27" w:rsidP="009309B1">
      <w:pPr>
        <w:rPr>
          <w:rFonts w:ascii="Arial" w:hAnsi="Arial" w:cs="Arial"/>
          <w:b/>
          <w:lang w:val="en-GB"/>
        </w:rPr>
      </w:pPr>
    </w:p>
    <w:p w14:paraId="15826656" w14:textId="4DDCD184" w:rsidR="00671CDB" w:rsidRDefault="00671CDB" w:rsidP="009309B1">
      <w:pPr>
        <w:rPr>
          <w:rFonts w:ascii="Arial" w:hAnsi="Arial" w:cs="Arial"/>
          <w:b/>
          <w:lang w:val="en-GB"/>
        </w:rPr>
      </w:pPr>
    </w:p>
    <w:p w14:paraId="2B5E97A3" w14:textId="77777777" w:rsidR="00671CDB" w:rsidRPr="00151940" w:rsidRDefault="00671CDB"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190C1190" w14:textId="3B4E9437" w:rsidR="009309B1" w:rsidRPr="00671CDB"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7F0A89B1" w14:textId="00B4C3CF" w:rsidR="009309B1" w:rsidRPr="00151940" w:rsidRDefault="0072030E" w:rsidP="6DBEF6E5">
      <w:pPr>
        <w:rPr>
          <w:rFonts w:ascii="Arial" w:hAnsi="Arial" w:cs="Arial"/>
          <w:lang w:val="en-GB"/>
        </w:rPr>
      </w:pPr>
      <w:r>
        <w:rPr>
          <w:rFonts w:ascii="Arial" w:hAnsi="Arial" w:cs="Arial"/>
          <w:lang w:val="en-GB"/>
        </w:rPr>
        <w:t>The changes proposed are mostly editorial in nature. The</w:t>
      </w:r>
      <w:r w:rsidR="00F070B5">
        <w:rPr>
          <w:rFonts w:ascii="Arial" w:hAnsi="Arial" w:cs="Arial"/>
          <w:lang w:val="en-GB"/>
        </w:rPr>
        <w:t xml:space="preserve"> proposals</w:t>
      </w:r>
      <w:r>
        <w:rPr>
          <w:rFonts w:ascii="Arial" w:hAnsi="Arial" w:cs="Arial"/>
          <w:lang w:val="en-GB"/>
        </w:rPr>
        <w:t xml:space="preserve"> are concentrated </w:t>
      </w:r>
      <w:r w:rsidR="00303C6A">
        <w:rPr>
          <w:rFonts w:ascii="Arial" w:hAnsi="Arial" w:cs="Arial"/>
          <w:lang w:val="en-GB"/>
        </w:rPr>
        <w:t>in</w:t>
      </w:r>
      <w:r>
        <w:rPr>
          <w:rFonts w:ascii="Arial" w:hAnsi="Arial" w:cs="Arial"/>
          <w:lang w:val="en-GB"/>
        </w:rPr>
        <w:t xml:space="preserve"> sections that are </w:t>
      </w:r>
      <w:r w:rsidR="00303C6A">
        <w:rPr>
          <w:rFonts w:ascii="Arial" w:hAnsi="Arial" w:cs="Arial"/>
          <w:lang w:val="en-GB"/>
        </w:rPr>
        <w:t xml:space="preserve">related to Fixed Satellite services. Some changes were also made to </w:t>
      </w:r>
      <w:r w:rsidR="00C8359C">
        <w:rPr>
          <w:rFonts w:ascii="Arial" w:hAnsi="Arial" w:cs="Arial"/>
          <w:lang w:val="en-GB"/>
        </w:rPr>
        <w:t xml:space="preserve">parts of </w:t>
      </w:r>
      <w:r w:rsidR="00303C6A">
        <w:rPr>
          <w:rFonts w:ascii="Arial" w:hAnsi="Arial" w:cs="Arial"/>
          <w:lang w:val="en-GB"/>
        </w:rPr>
        <w:t>conclusions of studies of WBB LMP with Fixed Service t</w:t>
      </w:r>
      <w:r w:rsidR="00C8359C">
        <w:rPr>
          <w:rFonts w:ascii="Arial" w:hAnsi="Arial" w:cs="Arial"/>
          <w:lang w:val="en-GB"/>
        </w:rPr>
        <w:t xml:space="preserve">hat are similar to the conclusions of FSS to make it consistent. </w:t>
      </w:r>
    </w:p>
    <w:p w14:paraId="525136F9" w14:textId="2399CF6D" w:rsidR="009309B1" w:rsidRDefault="009309B1"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6AB7D5E0"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Proposals related to the ECC Deliverables</w:t>
      </w:r>
    </w:p>
    <w:p w14:paraId="4F4B9BFD" w14:textId="77777777" w:rsidR="00AA2F1C" w:rsidRPr="00151940" w:rsidRDefault="00AA2F1C" w:rsidP="009309B1">
      <w:pPr>
        <w:rPr>
          <w:rFonts w:ascii="Arial" w:hAnsi="Arial" w:cs="Arial"/>
          <w:b/>
          <w:lang w:val="en-GB"/>
        </w:rPr>
      </w:pPr>
    </w:p>
    <w:p w14:paraId="22AC0F74" w14:textId="3E00DB38" w:rsidR="009309B1" w:rsidRPr="00151940" w:rsidRDefault="000B7C07" w:rsidP="009309B1">
      <w:pPr>
        <w:rPr>
          <w:rFonts w:ascii="Arial" w:hAnsi="Arial" w:cs="Arial"/>
          <w:lang w:val="en-GB"/>
        </w:rPr>
      </w:pPr>
      <w:r w:rsidRPr="00151940">
        <w:rPr>
          <w:rFonts w:ascii="Arial" w:hAnsi="Arial" w:cs="Arial"/>
          <w:b/>
          <w:bCs/>
          <w:lang w:val="en-GB"/>
        </w:rPr>
        <w:t xml:space="preserve">Note: </w:t>
      </w:r>
      <w:r w:rsidR="340BB856" w:rsidRPr="00151940">
        <w:rPr>
          <w:rFonts w:ascii="Arial" w:hAnsi="Arial" w:cs="Arial"/>
          <w:lang w:val="en-GB"/>
        </w:rPr>
        <w:t xml:space="preserve">Contributors </w:t>
      </w:r>
      <w:r w:rsidR="1DD71473" w:rsidRPr="00151940">
        <w:rPr>
          <w:rFonts w:ascii="Arial" w:hAnsi="Arial" w:cs="Arial"/>
          <w:lang w:val="en-GB"/>
        </w:rPr>
        <w:t>shall</w:t>
      </w:r>
      <w:r w:rsidRPr="00151940">
        <w:rPr>
          <w:rFonts w:ascii="Arial" w:hAnsi="Arial" w:cs="Arial"/>
          <w:lang w:val="en-GB"/>
        </w:rPr>
        <w:t xml:space="preserve"> use the following table to provide comments. It is also </w:t>
      </w:r>
      <w:r w:rsidR="005B0BAA" w:rsidRPr="00151940">
        <w:rPr>
          <w:rFonts w:ascii="Arial" w:hAnsi="Arial" w:cs="Arial"/>
          <w:lang w:val="en-GB"/>
        </w:rPr>
        <w:t xml:space="preserve">encouraged </w:t>
      </w:r>
      <w:r w:rsidRPr="00151940">
        <w:rPr>
          <w:rFonts w:ascii="Arial" w:hAnsi="Arial" w:cs="Arial"/>
          <w:lang w:val="en-GB"/>
        </w:rPr>
        <w:t xml:space="preserve">to provide as an annex </w:t>
      </w:r>
      <w:r w:rsidR="005B0BAA" w:rsidRPr="00151940">
        <w:rPr>
          <w:rFonts w:ascii="Arial" w:hAnsi="Arial" w:cs="Arial"/>
          <w:lang w:val="en-GB"/>
        </w:rPr>
        <w:t xml:space="preserve">a separate document showing </w:t>
      </w:r>
      <w:r w:rsidRPr="00151940">
        <w:rPr>
          <w:rFonts w:ascii="Arial" w:hAnsi="Arial" w:cs="Arial"/>
          <w:lang w:val="en-GB"/>
        </w:rPr>
        <w:t>the proposals with track changes.</w:t>
      </w:r>
      <w:r w:rsidR="00571C9F" w:rsidRPr="00151940">
        <w:rPr>
          <w:rFonts w:ascii="Arial" w:hAnsi="Arial" w:cs="Arial"/>
          <w:lang w:val="en-GB"/>
        </w:rPr>
        <w:t xml:space="preserve"> Minor editorial corrections do not need to be recorded in the table</w:t>
      </w:r>
      <w:r w:rsidR="202DBE3D" w:rsidRPr="00151940">
        <w:rPr>
          <w:rFonts w:ascii="Arial" w:hAnsi="Arial" w:cs="Arial"/>
          <w:lang w:val="en-GB"/>
        </w:rPr>
        <w:t>.</w:t>
      </w:r>
      <w:r w:rsidR="00BC76FD" w:rsidRPr="00151940">
        <w:rPr>
          <w:rFonts w:ascii="Arial" w:hAnsi="Arial" w:cs="Arial"/>
          <w:lang w:val="en-GB"/>
        </w:rPr>
        <w:t xml:space="preserve"> The table is used in the resolution meeting to record how each proposal is addressed.</w:t>
      </w:r>
    </w:p>
    <w:p w14:paraId="7906E4C8" w14:textId="1883C5AB" w:rsidR="00C40C9A" w:rsidRPr="00151940" w:rsidRDefault="00C40C9A" w:rsidP="009309B1">
      <w:pPr>
        <w:rPr>
          <w:rFonts w:ascii="Arial" w:hAnsi="Arial" w:cs="Arial"/>
          <w:lang w:val="en-GB"/>
        </w:rPr>
      </w:pPr>
    </w:p>
    <w:p w14:paraId="1242F216" w14:textId="00A32A19" w:rsidR="00C40C9A" w:rsidRPr="00151940" w:rsidRDefault="00C40C9A" w:rsidP="009309B1">
      <w:pPr>
        <w:rPr>
          <w:rFonts w:ascii="Arial" w:hAnsi="Arial" w:cs="Arial"/>
          <w:lang w:val="en-GB"/>
        </w:rPr>
      </w:pPr>
      <w:r w:rsidRPr="00151940">
        <w:rPr>
          <w:rFonts w:ascii="Arial" w:hAnsi="Arial" w:cs="Arial"/>
          <w:i/>
          <w:iCs/>
          <w:lang w:val="en-GB"/>
        </w:rPr>
        <w:t>The</w:t>
      </w:r>
      <w:r w:rsidRPr="00151940">
        <w:rPr>
          <w:rFonts w:ascii="Arial" w:hAnsi="Arial" w:cs="Arial"/>
          <w:lang w:val="en-GB"/>
        </w:rPr>
        <w:t xml:space="preserve"> following information </w:t>
      </w:r>
      <w:r w:rsidR="3AF9C099" w:rsidRPr="00151940">
        <w:rPr>
          <w:rFonts w:ascii="Arial" w:hAnsi="Arial" w:cs="Arial"/>
          <w:lang w:val="en-GB"/>
        </w:rPr>
        <w:t xml:space="preserve">must </w:t>
      </w:r>
      <w:r w:rsidRPr="00151940">
        <w:rPr>
          <w:rFonts w:ascii="Arial" w:hAnsi="Arial" w:cs="Arial"/>
          <w:lang w:val="en-GB"/>
        </w:rPr>
        <w:t>be included.</w:t>
      </w:r>
    </w:p>
    <w:p w14:paraId="3A4CF700" w14:textId="7A89B29F" w:rsidR="00C40C9A" w:rsidRPr="00151940" w:rsidRDefault="00C40C9A" w:rsidP="00671CDB">
      <w:pPr>
        <w:pStyle w:val="Paragrafoelenco"/>
        <w:numPr>
          <w:ilvl w:val="0"/>
          <w:numId w:val="1"/>
        </w:numPr>
        <w:spacing w:after="120"/>
        <w:rPr>
          <w:rFonts w:ascii="Arial" w:hAnsi="Arial" w:cs="Arial"/>
          <w:lang w:val="en-GB"/>
        </w:rPr>
      </w:pPr>
      <w:r w:rsidRPr="00151940">
        <w:rPr>
          <w:rFonts w:ascii="Arial" w:hAnsi="Arial" w:cs="Arial"/>
          <w:b/>
          <w:bCs/>
          <w:lang w:val="en-GB"/>
        </w:rPr>
        <w:t>Comment number</w:t>
      </w:r>
      <w:r w:rsidRPr="00151940">
        <w:rPr>
          <w:rFonts w:ascii="Arial" w:hAnsi="Arial" w:cs="Arial"/>
          <w:lang w:val="en-GB"/>
        </w:rPr>
        <w:t xml:space="preserve">: </w:t>
      </w:r>
      <w:r w:rsidR="009E77D3" w:rsidRPr="00151940">
        <w:rPr>
          <w:rFonts w:ascii="Arial" w:hAnsi="Arial" w:cs="Arial"/>
          <w:lang w:val="en-GB"/>
        </w:rPr>
        <w:t>Sequential</w:t>
      </w:r>
      <w:r w:rsidRPr="00151940">
        <w:rPr>
          <w:rFonts w:ascii="Arial" w:hAnsi="Arial" w:cs="Arial"/>
          <w:lang w:val="en-GB"/>
        </w:rPr>
        <w:t xml:space="preserve"> numbering of comments in the format </w:t>
      </w:r>
      <w:r w:rsidR="00B54A13" w:rsidRPr="00151940">
        <w:rPr>
          <w:rFonts w:ascii="Arial" w:hAnsi="Arial" w:cs="Arial"/>
          <w:lang w:val="en-GB"/>
        </w:rPr>
        <w:t>“</w:t>
      </w:r>
      <w:r w:rsidRPr="00151940">
        <w:rPr>
          <w:rFonts w:ascii="Arial" w:hAnsi="Arial" w:cs="Arial"/>
          <w:lang w:val="en-GB"/>
        </w:rPr>
        <w:t>XX/1</w:t>
      </w:r>
      <w:r w:rsidR="00B54A13" w:rsidRPr="00151940">
        <w:rPr>
          <w:rFonts w:ascii="Arial" w:hAnsi="Arial" w:cs="Arial"/>
          <w:lang w:val="en-GB"/>
        </w:rPr>
        <w:t>”</w:t>
      </w:r>
      <w:r w:rsidRPr="00151940">
        <w:rPr>
          <w:rFonts w:ascii="Arial" w:hAnsi="Arial" w:cs="Arial"/>
          <w:lang w:val="en-GB"/>
        </w:rPr>
        <w:t xml:space="preserve">, </w:t>
      </w:r>
      <w:r w:rsidR="00B54A13" w:rsidRPr="00151940">
        <w:rPr>
          <w:rFonts w:ascii="Arial" w:hAnsi="Arial" w:cs="Arial"/>
          <w:lang w:val="en-GB"/>
        </w:rPr>
        <w:t>“</w:t>
      </w:r>
      <w:r w:rsidRPr="00151940">
        <w:rPr>
          <w:rFonts w:ascii="Arial" w:hAnsi="Arial" w:cs="Arial"/>
          <w:lang w:val="en-GB"/>
        </w:rPr>
        <w:t>XX/2</w:t>
      </w:r>
      <w:r w:rsidR="00B54A13" w:rsidRPr="00151940">
        <w:rPr>
          <w:rFonts w:ascii="Arial" w:hAnsi="Arial" w:cs="Arial"/>
          <w:lang w:val="en-GB"/>
        </w:rPr>
        <w:t>”</w:t>
      </w:r>
      <w:r w:rsidRPr="00151940">
        <w:rPr>
          <w:rFonts w:ascii="Arial" w:hAnsi="Arial" w:cs="Arial"/>
          <w:lang w:val="en-GB"/>
        </w:rPr>
        <w:t xml:space="preserve"> </w:t>
      </w:r>
      <w:proofErr w:type="spellStart"/>
      <w:r w:rsidRPr="00151940">
        <w:rPr>
          <w:rFonts w:ascii="Arial" w:hAnsi="Arial" w:cs="Arial"/>
          <w:lang w:val="en-GB"/>
        </w:rPr>
        <w:t>etc</w:t>
      </w:r>
      <w:proofErr w:type="spellEnd"/>
      <w:r w:rsidRPr="00151940">
        <w:rPr>
          <w:rFonts w:ascii="Arial" w:hAnsi="Arial" w:cs="Arial"/>
          <w:lang w:val="en-GB"/>
        </w:rPr>
        <w:t>, where “XX” is the organisation name or a suitable abbreviation. Administrations may use CEPT country codes</w:t>
      </w:r>
    </w:p>
    <w:p w14:paraId="4F1D693F" w14:textId="7D36A647" w:rsidR="00C40C9A" w:rsidRPr="00151940" w:rsidRDefault="00C40C9A" w:rsidP="00671CDB">
      <w:pPr>
        <w:pStyle w:val="Paragrafoelenco"/>
        <w:numPr>
          <w:ilvl w:val="0"/>
          <w:numId w:val="1"/>
        </w:numPr>
        <w:spacing w:after="120"/>
        <w:rPr>
          <w:rFonts w:ascii="Arial" w:hAnsi="Arial" w:cs="Arial"/>
          <w:lang w:val="en-GB"/>
        </w:rPr>
      </w:pPr>
      <w:r w:rsidRPr="00151940">
        <w:rPr>
          <w:rFonts w:ascii="Arial" w:hAnsi="Arial" w:cs="Arial"/>
          <w:b/>
          <w:bCs/>
          <w:lang w:val="en-GB"/>
        </w:rPr>
        <w:t>Section number/Clause</w:t>
      </w:r>
      <w:r w:rsidRPr="00151940">
        <w:rPr>
          <w:rFonts w:ascii="Arial" w:hAnsi="Arial" w:cs="Arial"/>
          <w:lang w:val="en-GB"/>
        </w:rPr>
        <w:t>: Relevant section number of the deliverable, use numbers where applicable e.g. “1.1”, “A1.4”, “List of abbreviations”</w:t>
      </w:r>
    </w:p>
    <w:p w14:paraId="38DBAD13" w14:textId="683858A2" w:rsidR="00C40C9A" w:rsidRPr="00151940" w:rsidRDefault="00C40C9A" w:rsidP="00671CDB">
      <w:pPr>
        <w:pStyle w:val="Paragrafoelenco"/>
        <w:numPr>
          <w:ilvl w:val="0"/>
          <w:numId w:val="1"/>
        </w:numPr>
        <w:spacing w:after="120"/>
        <w:rPr>
          <w:rFonts w:ascii="Arial" w:hAnsi="Arial" w:cs="Arial"/>
          <w:lang w:val="en-GB"/>
        </w:rPr>
      </w:pPr>
      <w:r w:rsidRPr="00151940">
        <w:rPr>
          <w:rFonts w:ascii="Arial" w:hAnsi="Arial" w:cs="Arial"/>
          <w:b/>
          <w:bCs/>
          <w:lang w:val="en-GB"/>
        </w:rPr>
        <w:t>Paragrap</w:t>
      </w:r>
      <w:r w:rsidR="00EF5089" w:rsidRPr="00151940">
        <w:rPr>
          <w:rFonts w:ascii="Arial" w:hAnsi="Arial" w:cs="Arial"/>
          <w:b/>
          <w:bCs/>
          <w:lang w:val="en-GB"/>
        </w:rPr>
        <w:t>h/Figure/Table</w:t>
      </w:r>
      <w:r w:rsidR="00EF5089" w:rsidRPr="00151940">
        <w:rPr>
          <w:rFonts w:ascii="Arial" w:hAnsi="Arial" w:cs="Arial"/>
          <w:lang w:val="en-GB"/>
        </w:rPr>
        <w:t xml:space="preserve">: Paragraph number in section, e.g. </w:t>
      </w:r>
      <w:r w:rsidR="00B54A13" w:rsidRPr="00151940">
        <w:rPr>
          <w:rFonts w:ascii="Arial" w:hAnsi="Arial" w:cs="Arial"/>
          <w:lang w:val="en-GB"/>
        </w:rPr>
        <w:t>“</w:t>
      </w:r>
      <w:r w:rsidR="00EF5089" w:rsidRPr="00151940">
        <w:rPr>
          <w:rFonts w:ascii="Arial" w:hAnsi="Arial" w:cs="Arial"/>
          <w:lang w:val="en-GB"/>
        </w:rPr>
        <w:t>1</w:t>
      </w:r>
      <w:r w:rsidR="00B54A13" w:rsidRPr="00151940">
        <w:rPr>
          <w:rFonts w:ascii="Arial" w:hAnsi="Arial" w:cs="Arial"/>
          <w:lang w:val="en-GB"/>
        </w:rPr>
        <w:t>”</w:t>
      </w:r>
      <w:r w:rsidR="00EF5089" w:rsidRPr="00151940">
        <w:rPr>
          <w:rFonts w:ascii="Arial" w:hAnsi="Arial" w:cs="Arial"/>
          <w:lang w:val="en-GB"/>
        </w:rPr>
        <w:t>,</w:t>
      </w:r>
      <w:r w:rsidR="00B54A13" w:rsidRPr="00151940">
        <w:rPr>
          <w:rFonts w:ascii="Arial" w:hAnsi="Arial" w:cs="Arial"/>
          <w:lang w:val="en-GB"/>
        </w:rPr>
        <w:t>”</w:t>
      </w:r>
      <w:r w:rsidR="00EF5089" w:rsidRPr="00151940">
        <w:rPr>
          <w:rFonts w:ascii="Arial" w:hAnsi="Arial" w:cs="Arial"/>
          <w:lang w:val="en-GB"/>
        </w:rPr>
        <w:t>2</w:t>
      </w:r>
      <w:r w:rsidR="00B54A13" w:rsidRPr="00151940">
        <w:rPr>
          <w:rFonts w:ascii="Arial" w:hAnsi="Arial" w:cs="Arial"/>
          <w:lang w:val="en-GB"/>
        </w:rPr>
        <w:t>”</w:t>
      </w:r>
      <w:proofErr w:type="gramStart"/>
      <w:r w:rsidR="00EF5089" w:rsidRPr="00151940">
        <w:rPr>
          <w:rFonts w:ascii="Arial" w:hAnsi="Arial" w:cs="Arial"/>
          <w:lang w:val="en-GB"/>
        </w:rPr>
        <w:t>..</w:t>
      </w:r>
      <w:proofErr w:type="gramEnd"/>
      <w:r w:rsidR="00EF5089" w:rsidRPr="00151940">
        <w:rPr>
          <w:rFonts w:ascii="Arial" w:hAnsi="Arial" w:cs="Arial"/>
          <w:lang w:val="en-GB"/>
        </w:rPr>
        <w:t xml:space="preserve"> or Figure/Table, e.g. “Figure 1”, “Table 2”</w:t>
      </w:r>
    </w:p>
    <w:p w14:paraId="37CCF101" w14:textId="4097A70A" w:rsidR="00EF5089" w:rsidRPr="00151940" w:rsidRDefault="00EF5089" w:rsidP="00671CDB">
      <w:pPr>
        <w:pStyle w:val="Paragrafoelenco"/>
        <w:numPr>
          <w:ilvl w:val="0"/>
          <w:numId w:val="1"/>
        </w:numPr>
        <w:spacing w:after="120"/>
        <w:rPr>
          <w:rFonts w:ascii="Arial" w:hAnsi="Arial" w:cs="Arial"/>
          <w:lang w:val="en-GB"/>
        </w:rPr>
      </w:pPr>
      <w:r w:rsidRPr="00151940">
        <w:rPr>
          <w:rFonts w:ascii="Arial" w:hAnsi="Arial" w:cs="Arial"/>
          <w:b/>
          <w:bCs/>
          <w:lang w:val="en-GB"/>
        </w:rPr>
        <w:t>Type of comment</w:t>
      </w:r>
      <w:r w:rsidR="00432E3E" w:rsidRPr="00151940">
        <w:rPr>
          <w:rFonts w:ascii="Arial" w:hAnsi="Arial" w:cs="Arial"/>
          <w:lang w:val="en-GB"/>
        </w:rPr>
        <w:t>: “General”, “Technical” or “Editorial”</w:t>
      </w:r>
      <w:r w:rsidR="009E77D3" w:rsidRPr="00151940">
        <w:rPr>
          <w:rFonts w:ascii="Arial" w:hAnsi="Arial" w:cs="Arial"/>
          <w:lang w:val="en-GB"/>
        </w:rPr>
        <w:t xml:space="preserve"> depending on the nature of the proposed changes</w:t>
      </w:r>
    </w:p>
    <w:p w14:paraId="1155B842" w14:textId="76F16B22" w:rsidR="00432E3E" w:rsidRPr="00151940" w:rsidRDefault="009E77D3" w:rsidP="00671CDB">
      <w:pPr>
        <w:pStyle w:val="Paragrafoelenco"/>
        <w:numPr>
          <w:ilvl w:val="0"/>
          <w:numId w:val="1"/>
        </w:numPr>
        <w:spacing w:after="120"/>
        <w:rPr>
          <w:rFonts w:ascii="Arial" w:hAnsi="Arial" w:cs="Arial"/>
          <w:lang w:val="en-GB"/>
        </w:rPr>
      </w:pPr>
      <w:r w:rsidRPr="00151940">
        <w:rPr>
          <w:rFonts w:ascii="Arial" w:hAnsi="Arial" w:cs="Arial"/>
          <w:b/>
          <w:bCs/>
          <w:lang w:val="en-GB"/>
        </w:rPr>
        <w:t>Comment</w:t>
      </w:r>
      <w:r w:rsidR="00432E3E" w:rsidRPr="00151940">
        <w:rPr>
          <w:rFonts w:ascii="Arial" w:hAnsi="Arial" w:cs="Arial"/>
          <w:lang w:val="en-GB"/>
        </w:rPr>
        <w:t>: Background/justification for proposed changes</w:t>
      </w:r>
    </w:p>
    <w:p w14:paraId="2DAA9715" w14:textId="5AEFB3D4" w:rsidR="00432E3E" w:rsidRPr="00151940" w:rsidRDefault="00432E3E" w:rsidP="00671CDB">
      <w:pPr>
        <w:pStyle w:val="Paragrafoelenco"/>
        <w:numPr>
          <w:ilvl w:val="0"/>
          <w:numId w:val="1"/>
        </w:numPr>
        <w:spacing w:after="120"/>
        <w:rPr>
          <w:rFonts w:ascii="Arial" w:hAnsi="Arial" w:cs="Arial"/>
          <w:lang w:val="en-GB"/>
        </w:rPr>
      </w:pPr>
      <w:r w:rsidRPr="00151940">
        <w:rPr>
          <w:rFonts w:ascii="Arial" w:hAnsi="Arial" w:cs="Arial"/>
          <w:b/>
          <w:bCs/>
          <w:lang w:val="en-GB"/>
        </w:rPr>
        <w:t>Proposed change</w:t>
      </w:r>
      <w:r w:rsidRPr="00151940">
        <w:rPr>
          <w:rFonts w:ascii="Arial" w:hAnsi="Arial" w:cs="Arial"/>
          <w:lang w:val="en-GB"/>
        </w:rPr>
        <w:t>:</w:t>
      </w:r>
      <w:r w:rsidR="009E77D3" w:rsidRPr="00151940">
        <w:rPr>
          <w:rFonts w:ascii="Arial" w:hAnsi="Arial" w:cs="Arial"/>
          <w:lang w:val="en-GB"/>
        </w:rPr>
        <w:t xml:space="preserve"> Proposed modifications shown in revision marks where possible. For more complicated changes (e.g. proposed deletion/addition of whole sections) or changes to tables it is sufficient to refer to the annex including the changes</w:t>
      </w: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ins w:id="0" w:author="Peter Faris" w:date="2020-05-12T11:08:00Z"/>
          <w:rFonts w:ascii="Arial" w:hAnsi="Arial" w:cs="Arial"/>
          <w:lang w:val="en-GB"/>
        </w:rPr>
        <w:sectPr w:rsidR="009E77D3" w:rsidRPr="00151940" w:rsidSect="009E77D3">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27550D" w14:paraId="2B7D5277" w14:textId="77777777" w:rsidTr="00326734">
        <w:trPr>
          <w:cantSplit/>
          <w:trHeight w:val="1214"/>
        </w:trPr>
        <w:tc>
          <w:tcPr>
            <w:tcW w:w="1044" w:type="dxa"/>
          </w:tcPr>
          <w:p w14:paraId="5B411412" w14:textId="7EB892FD" w:rsidR="00215963" w:rsidRPr="00581CAE" w:rsidRDefault="00581CAE" w:rsidP="00AA2F1C">
            <w:pPr>
              <w:keepLines/>
              <w:spacing w:before="120"/>
              <w:rPr>
                <w:rFonts w:ascii="Arial" w:hAnsi="Arial" w:cs="Arial"/>
                <w:sz w:val="16"/>
                <w:szCs w:val="16"/>
                <w:lang w:val="en-GB"/>
              </w:rPr>
            </w:pPr>
            <w:r w:rsidRPr="00581CAE">
              <w:rPr>
                <w:rFonts w:ascii="Arial" w:hAnsi="Arial" w:cs="Arial"/>
                <w:sz w:val="16"/>
                <w:szCs w:val="16"/>
                <w:lang w:val="en-GB"/>
              </w:rPr>
              <w:t>I/1</w:t>
            </w:r>
          </w:p>
          <w:p w14:paraId="223EFF19" w14:textId="77777777" w:rsidR="00215963" w:rsidRDefault="00215963" w:rsidP="00AA2F1C">
            <w:pPr>
              <w:keepLines/>
              <w:spacing w:before="120"/>
              <w:rPr>
                <w:rFonts w:ascii="Arial" w:hAnsi="Arial" w:cs="Arial"/>
                <w:sz w:val="16"/>
                <w:szCs w:val="16"/>
                <w:lang w:val="en-GB"/>
              </w:rPr>
            </w:pPr>
          </w:p>
          <w:p w14:paraId="6AABE043" w14:textId="677F85DB" w:rsidR="00581CAE" w:rsidRPr="00151940" w:rsidRDefault="00581CAE" w:rsidP="00AA2F1C">
            <w:pPr>
              <w:keepLines/>
              <w:spacing w:before="120"/>
              <w:rPr>
                <w:rFonts w:ascii="Arial" w:hAnsi="Arial" w:cs="Arial"/>
                <w:sz w:val="16"/>
                <w:szCs w:val="16"/>
                <w:lang w:val="en-GB"/>
              </w:rPr>
            </w:pPr>
          </w:p>
        </w:tc>
        <w:tc>
          <w:tcPr>
            <w:tcW w:w="1224" w:type="dxa"/>
          </w:tcPr>
          <w:p w14:paraId="5EC74F7E" w14:textId="3C217084" w:rsidR="00215963" w:rsidRPr="00151940" w:rsidRDefault="00581CAE" w:rsidP="00AA2F1C">
            <w:pPr>
              <w:keepLines/>
              <w:spacing w:before="120"/>
              <w:rPr>
                <w:rFonts w:ascii="Arial" w:hAnsi="Arial" w:cs="Arial"/>
                <w:sz w:val="16"/>
                <w:szCs w:val="16"/>
                <w:lang w:val="en-GB"/>
              </w:rPr>
            </w:pPr>
            <w:r>
              <w:rPr>
                <w:rFonts w:ascii="Arial" w:hAnsi="Arial" w:cs="Arial"/>
                <w:b/>
                <w:sz w:val="16"/>
                <w:szCs w:val="16"/>
                <w:lang w:val="en-GB"/>
              </w:rPr>
              <w:t>0</w:t>
            </w:r>
          </w:p>
        </w:tc>
        <w:tc>
          <w:tcPr>
            <w:tcW w:w="1276" w:type="dxa"/>
          </w:tcPr>
          <w:p w14:paraId="1F4176DB" w14:textId="50E91154" w:rsidR="00215963" w:rsidRPr="00151940" w:rsidRDefault="00581CAE" w:rsidP="00AA2F1C">
            <w:pPr>
              <w:keepLines/>
              <w:spacing w:before="120"/>
              <w:rPr>
                <w:rFonts w:ascii="Arial" w:hAnsi="Arial" w:cs="Arial"/>
                <w:sz w:val="16"/>
                <w:szCs w:val="16"/>
                <w:lang w:val="en-GB"/>
              </w:rPr>
            </w:pPr>
            <w:r>
              <w:rPr>
                <w:rFonts w:ascii="Arial" w:hAnsi="Arial" w:cs="Arial"/>
                <w:sz w:val="16"/>
                <w:szCs w:val="16"/>
                <w:lang w:val="en-GB"/>
              </w:rPr>
              <w:t>Paragraph 2 Page 3</w:t>
            </w:r>
          </w:p>
        </w:tc>
        <w:tc>
          <w:tcPr>
            <w:tcW w:w="2268" w:type="dxa"/>
          </w:tcPr>
          <w:p w14:paraId="2D79807C" w14:textId="59B39436" w:rsidR="00215963" w:rsidRPr="006B471E" w:rsidRDefault="00581CAE" w:rsidP="00AA2F1C">
            <w:pPr>
              <w:keepLines/>
              <w:spacing w:before="120"/>
              <w:rPr>
                <w:rFonts w:ascii="Arial" w:hAnsi="Arial" w:cs="Arial"/>
                <w:sz w:val="16"/>
                <w:szCs w:val="16"/>
                <w:lang w:val="en-GB"/>
              </w:rPr>
            </w:pPr>
            <w:r w:rsidRPr="006B471E">
              <w:rPr>
                <w:rFonts w:ascii="Arial" w:hAnsi="Arial" w:cs="Arial"/>
                <w:sz w:val="16"/>
                <w:szCs w:val="16"/>
                <w:lang w:val="en-GB"/>
              </w:rPr>
              <w:t>Editoria</w:t>
            </w:r>
            <w:r w:rsidR="006B471E" w:rsidRPr="006B471E">
              <w:rPr>
                <w:rFonts w:ascii="Arial" w:hAnsi="Arial" w:cs="Arial"/>
                <w:sz w:val="16"/>
                <w:szCs w:val="16"/>
                <w:lang w:val="en-GB"/>
              </w:rPr>
              <w:t>l</w:t>
            </w:r>
          </w:p>
        </w:tc>
        <w:tc>
          <w:tcPr>
            <w:tcW w:w="3402" w:type="dxa"/>
          </w:tcPr>
          <w:p w14:paraId="2942CF1E" w14:textId="6E58A819" w:rsidR="00A83438" w:rsidRPr="00151940" w:rsidRDefault="00581CAE" w:rsidP="00A83438">
            <w:pPr>
              <w:keepLines/>
              <w:spacing w:before="120"/>
              <w:rPr>
                <w:rFonts w:ascii="Arial" w:hAnsi="Arial" w:cs="Arial"/>
                <w:sz w:val="16"/>
                <w:szCs w:val="16"/>
                <w:lang w:val="en-GB"/>
              </w:rPr>
            </w:pPr>
            <w:r>
              <w:rPr>
                <w:rFonts w:ascii="Arial" w:hAnsi="Arial" w:cs="Arial"/>
                <w:sz w:val="16"/>
                <w:szCs w:val="16"/>
                <w:lang w:val="en-GB"/>
              </w:rPr>
              <w:t>The real</w:t>
            </w:r>
            <w:r w:rsidRPr="00C270A1">
              <w:rPr>
                <w:rFonts w:ascii="Arial" w:hAnsi="Arial" w:cs="Arial"/>
                <w:sz w:val="16"/>
                <w:szCs w:val="16"/>
                <w:lang w:val="en-GB"/>
              </w:rPr>
              <w:t xml:space="preserve"> terrain </w:t>
            </w:r>
            <w:r>
              <w:rPr>
                <w:rFonts w:ascii="Arial" w:hAnsi="Arial" w:cs="Arial"/>
                <w:sz w:val="16"/>
                <w:szCs w:val="16"/>
                <w:lang w:val="en-GB"/>
              </w:rPr>
              <w:t xml:space="preserve">hinders or </w:t>
            </w:r>
            <w:r w:rsidRPr="00C270A1">
              <w:rPr>
                <w:rFonts w:ascii="Arial" w:hAnsi="Arial" w:cs="Arial"/>
                <w:sz w:val="16"/>
                <w:szCs w:val="16"/>
                <w:lang w:val="en-GB"/>
              </w:rPr>
              <w:t xml:space="preserve">favours </w:t>
            </w:r>
            <w:r>
              <w:rPr>
                <w:rFonts w:ascii="Arial" w:hAnsi="Arial" w:cs="Arial"/>
                <w:sz w:val="16"/>
                <w:szCs w:val="16"/>
                <w:lang w:val="en-GB"/>
              </w:rPr>
              <w:t xml:space="preserve">protection, not </w:t>
            </w:r>
            <w:r w:rsidRPr="00C270A1">
              <w:rPr>
                <w:rFonts w:ascii="Arial" w:hAnsi="Arial" w:cs="Arial"/>
                <w:sz w:val="16"/>
                <w:szCs w:val="16"/>
                <w:lang w:val="en-GB"/>
              </w:rPr>
              <w:t>data</w:t>
            </w:r>
          </w:p>
        </w:tc>
        <w:tc>
          <w:tcPr>
            <w:tcW w:w="4678" w:type="dxa"/>
          </w:tcPr>
          <w:p w14:paraId="031082FA" w14:textId="37D35306" w:rsidR="00215963" w:rsidRPr="00151940" w:rsidRDefault="00581CAE" w:rsidP="00AA2F1C">
            <w:pPr>
              <w:spacing w:before="120"/>
              <w:rPr>
                <w:rFonts w:ascii="Arial" w:hAnsi="Arial" w:cs="Arial"/>
                <w:sz w:val="16"/>
                <w:szCs w:val="16"/>
                <w:lang w:val="en-GB"/>
              </w:rPr>
            </w:pPr>
            <w:proofErr w:type="spellStart"/>
            <w:r w:rsidRPr="00B06AF7">
              <w:t>because</w:t>
            </w:r>
            <w:proofErr w:type="spellEnd"/>
            <w:r w:rsidRPr="00B06AF7">
              <w:t xml:space="preserve"> real terrain </w:t>
            </w:r>
            <w:del w:id="1" w:author="Italy" w:date="2024-04-19T13:16:00Z">
              <w:r w:rsidRPr="00B06AF7" w:rsidDel="00C270A1">
                <w:delText xml:space="preserve">data </w:delText>
              </w:r>
            </w:del>
            <w:proofErr w:type="spellStart"/>
            <w:r w:rsidRPr="00B06AF7">
              <w:t>can</w:t>
            </w:r>
            <w:proofErr w:type="spellEnd"/>
            <w:r w:rsidRPr="00B06AF7">
              <w:t xml:space="preserve"> not </w:t>
            </w:r>
            <w:proofErr w:type="spellStart"/>
            <w:r w:rsidRPr="00B06AF7">
              <w:t>only</w:t>
            </w:r>
            <w:proofErr w:type="spellEnd"/>
            <w:r w:rsidRPr="00B06AF7">
              <w:t xml:space="preserve"> </w:t>
            </w:r>
            <w:proofErr w:type="spellStart"/>
            <w:r w:rsidRPr="00B06AF7">
              <w:t>hinder</w:t>
            </w:r>
            <w:proofErr w:type="spellEnd"/>
            <w:r w:rsidRPr="00B06AF7">
              <w:t xml:space="preserve">, but </w:t>
            </w:r>
            <w:proofErr w:type="spellStart"/>
            <w:r w:rsidRPr="00B06AF7">
              <w:t>also</w:t>
            </w:r>
            <w:proofErr w:type="spellEnd"/>
            <w:r w:rsidRPr="00B06AF7">
              <w:t xml:space="preserve"> </w:t>
            </w:r>
            <w:proofErr w:type="spellStart"/>
            <w:r w:rsidRPr="00B06AF7">
              <w:t>favour</w:t>
            </w:r>
            <w:proofErr w:type="spellEnd"/>
            <w:r w:rsidRPr="00B06AF7">
              <w:t xml:space="preserve"> propagation</w:t>
            </w:r>
            <w:r w:rsidRPr="00151940">
              <w:rPr>
                <w:rFonts w:ascii="Arial" w:hAnsi="Arial" w:cs="Arial"/>
                <w:sz w:val="16"/>
                <w:szCs w:val="16"/>
                <w:lang w:val="en-GB"/>
              </w:rPr>
              <w:t xml:space="preserve"> </w:t>
            </w:r>
          </w:p>
        </w:tc>
      </w:tr>
      <w:tr w:rsidR="00581CAE" w:rsidRPr="0027550D" w14:paraId="42267DDF" w14:textId="77777777" w:rsidTr="00326734">
        <w:trPr>
          <w:cantSplit/>
          <w:trHeight w:val="1214"/>
        </w:trPr>
        <w:tc>
          <w:tcPr>
            <w:tcW w:w="1044" w:type="dxa"/>
          </w:tcPr>
          <w:p w14:paraId="34E55529" w14:textId="400768A3" w:rsidR="00581CAE" w:rsidRPr="00151940" w:rsidRDefault="00436FFB" w:rsidP="00581CAE">
            <w:pPr>
              <w:keepLines/>
              <w:spacing w:before="120"/>
              <w:rPr>
                <w:rFonts w:ascii="Arial" w:hAnsi="Arial" w:cs="Arial"/>
                <w:sz w:val="16"/>
                <w:szCs w:val="16"/>
                <w:lang w:val="en-GB"/>
              </w:rPr>
            </w:pPr>
            <w:r>
              <w:rPr>
                <w:rFonts w:ascii="Arial" w:hAnsi="Arial" w:cs="Arial"/>
                <w:sz w:val="16"/>
                <w:szCs w:val="16"/>
                <w:lang w:val="en-GB"/>
              </w:rPr>
              <w:t>I/2</w:t>
            </w:r>
          </w:p>
          <w:p w14:paraId="5D00D65E" w14:textId="77777777" w:rsidR="00581CAE" w:rsidRDefault="00581CAE" w:rsidP="00581CAE">
            <w:pPr>
              <w:keepLines/>
              <w:spacing w:before="120"/>
              <w:rPr>
                <w:rFonts w:ascii="Arial" w:hAnsi="Arial" w:cs="Arial"/>
                <w:sz w:val="16"/>
                <w:szCs w:val="16"/>
                <w:lang w:val="en-GB"/>
              </w:rPr>
            </w:pPr>
          </w:p>
          <w:p w14:paraId="18DE6C1C" w14:textId="77777777" w:rsidR="00581CAE" w:rsidRDefault="00581CAE" w:rsidP="00581CAE">
            <w:pPr>
              <w:keepLines/>
              <w:spacing w:before="120"/>
              <w:rPr>
                <w:rFonts w:ascii="Arial" w:hAnsi="Arial" w:cs="Arial"/>
                <w:sz w:val="16"/>
                <w:szCs w:val="16"/>
                <w:lang w:val="en-GB"/>
              </w:rPr>
            </w:pPr>
          </w:p>
        </w:tc>
        <w:tc>
          <w:tcPr>
            <w:tcW w:w="1224" w:type="dxa"/>
          </w:tcPr>
          <w:p w14:paraId="27E62180" w14:textId="042CB123" w:rsidR="00581CAE" w:rsidRDefault="00581CAE" w:rsidP="00581CAE">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429FEF3C" w14:textId="41944F2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5 Page 3</w:t>
            </w:r>
          </w:p>
        </w:tc>
        <w:tc>
          <w:tcPr>
            <w:tcW w:w="2268" w:type="dxa"/>
          </w:tcPr>
          <w:p w14:paraId="0CA9B26F" w14:textId="71AD50EC" w:rsidR="00581CAE" w:rsidRDefault="00581CAE" w:rsidP="00581CAE">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106720F" w14:textId="7777777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T</w:t>
            </w:r>
            <w:r w:rsidRPr="00815326">
              <w:rPr>
                <w:rFonts w:ascii="Arial" w:hAnsi="Arial" w:cs="Arial"/>
                <w:sz w:val="16"/>
                <w:szCs w:val="16"/>
                <w:lang w:val="en-GB"/>
              </w:rPr>
              <w:t xml:space="preserve">ext proposal </w:t>
            </w:r>
            <w:r>
              <w:rPr>
                <w:rFonts w:ascii="Arial" w:hAnsi="Arial" w:cs="Arial"/>
                <w:sz w:val="16"/>
                <w:szCs w:val="16"/>
                <w:lang w:val="en-GB"/>
              </w:rPr>
              <w:t xml:space="preserve">to better clarify </w:t>
            </w:r>
            <w:r w:rsidRPr="00815326">
              <w:rPr>
                <w:rFonts w:ascii="Arial" w:hAnsi="Arial" w:cs="Arial"/>
                <w:sz w:val="16"/>
                <w:szCs w:val="16"/>
                <w:lang w:val="en-GB"/>
              </w:rPr>
              <w:t xml:space="preserve">that mitigation techniques could be used </w:t>
            </w:r>
            <w:r>
              <w:rPr>
                <w:rFonts w:ascii="Arial" w:hAnsi="Arial" w:cs="Arial"/>
                <w:sz w:val="16"/>
                <w:szCs w:val="16"/>
                <w:lang w:val="en-GB"/>
              </w:rPr>
              <w:t>when needed and on a case by case basis during coordination.</w:t>
            </w:r>
          </w:p>
          <w:p w14:paraId="652EF36F" w14:textId="0F527AE6" w:rsidR="00581CAE" w:rsidRDefault="00581CAE" w:rsidP="00581CAE">
            <w:pPr>
              <w:keepLines/>
              <w:spacing w:before="120"/>
              <w:rPr>
                <w:rFonts w:ascii="Arial" w:hAnsi="Arial" w:cs="Arial"/>
                <w:sz w:val="16"/>
                <w:szCs w:val="16"/>
                <w:lang w:val="en-GB"/>
              </w:rPr>
            </w:pPr>
            <w:r>
              <w:rPr>
                <w:rFonts w:ascii="Arial" w:hAnsi="Arial" w:cs="Arial"/>
                <w:sz w:val="16"/>
                <w:szCs w:val="16"/>
                <w:lang w:val="en-GB"/>
              </w:rPr>
              <w:t xml:space="preserve">In addition </w:t>
            </w:r>
            <w:r w:rsidRPr="00A83438">
              <w:rPr>
                <w:rFonts w:ascii="Arial" w:hAnsi="Arial" w:cs="Arial"/>
                <w:sz w:val="16"/>
                <w:szCs w:val="16"/>
                <w:lang w:val="en-GB"/>
              </w:rPr>
              <w:t>it seems appropriate to</w:t>
            </w:r>
            <w:r>
              <w:rPr>
                <w:rFonts w:ascii="Arial" w:hAnsi="Arial" w:cs="Arial"/>
                <w:sz w:val="16"/>
                <w:szCs w:val="16"/>
                <w:lang w:val="en-GB"/>
              </w:rPr>
              <w:t xml:space="preserve"> mention at this point that </w:t>
            </w:r>
            <w:r w:rsidRPr="00A83438">
              <w:rPr>
                <w:rFonts w:ascii="Arial" w:hAnsi="Arial" w:cs="Arial"/>
                <w:sz w:val="16"/>
                <w:szCs w:val="16"/>
                <w:lang w:val="en-GB"/>
              </w:rPr>
              <w:t>CEPT will provide guidelines for such coordination</w:t>
            </w:r>
            <w:r>
              <w:rPr>
                <w:rFonts w:ascii="Arial" w:hAnsi="Arial" w:cs="Arial"/>
                <w:sz w:val="16"/>
                <w:szCs w:val="16"/>
                <w:lang w:val="en-GB"/>
              </w:rPr>
              <w:t>.</w:t>
            </w:r>
          </w:p>
        </w:tc>
        <w:tc>
          <w:tcPr>
            <w:tcW w:w="4678" w:type="dxa"/>
          </w:tcPr>
          <w:p w14:paraId="6A418E09" w14:textId="77777777" w:rsidR="00581CAE" w:rsidRPr="00AB4F8E" w:rsidRDefault="00581CAE" w:rsidP="00581CAE">
            <w:pPr>
              <w:rPr>
                <w:lang w:val="en-US"/>
              </w:rPr>
            </w:pPr>
            <w:r w:rsidRPr="00AB4F8E">
              <w:rPr>
                <w:lang w:val="en-US"/>
              </w:rPr>
              <w:t xml:space="preserve">Nevertheless, appropriate mitigation techniques </w:t>
            </w:r>
            <w:ins w:id="2" w:author="Italy" w:date="2024-04-18T11:48:00Z">
              <w:r w:rsidRPr="007323DC">
                <w:rPr>
                  <w:lang w:val="en-US"/>
                </w:rPr>
                <w:t xml:space="preserve">could be considered during coordination on a case by case basis to </w:t>
              </w:r>
            </w:ins>
            <w:del w:id="3" w:author="Italy" w:date="2024-04-18T11:48:00Z">
              <w:r w:rsidRPr="00AB4F8E" w:rsidDel="007323DC">
                <w:rPr>
                  <w:lang w:val="en-US"/>
                </w:rPr>
                <w:delText xml:space="preserve">can </w:delText>
              </w:r>
            </w:del>
            <w:r w:rsidRPr="00AB4F8E">
              <w:rPr>
                <w:lang w:val="en-US"/>
              </w:rPr>
              <w:t xml:space="preserve">facilitate coexistence between WBB and FS/FSS systems, both at national level and with the </w:t>
            </w:r>
            <w:proofErr w:type="spellStart"/>
            <w:r w:rsidRPr="00AB4F8E">
              <w:rPr>
                <w:lang w:val="en-US"/>
              </w:rPr>
              <w:t>neighbouring</w:t>
            </w:r>
            <w:proofErr w:type="spellEnd"/>
            <w:r w:rsidRPr="00AB4F8E">
              <w:rPr>
                <w:lang w:val="en-US"/>
              </w:rPr>
              <w:t xml:space="preserve"> countries.</w:t>
            </w:r>
            <w:ins w:id="4" w:author="Italy" w:date="2024-04-18T11:49:00Z">
              <w:r w:rsidRPr="007323DC">
                <w:rPr>
                  <w:lang w:val="en-US"/>
                </w:rPr>
                <w:t xml:space="preserve"> CEPT is developing recommendations for administrations to provide guidance for coordination between these services.</w:t>
              </w:r>
            </w:ins>
          </w:p>
          <w:p w14:paraId="553DE27B" w14:textId="77777777" w:rsidR="00581CAE" w:rsidRPr="00AB4F8E" w:rsidRDefault="00581CAE" w:rsidP="00581CAE">
            <w:pPr>
              <w:rPr>
                <w:lang w:val="en-US"/>
              </w:rPr>
            </w:pPr>
          </w:p>
        </w:tc>
      </w:tr>
      <w:tr w:rsidR="00581CAE" w:rsidRPr="0027550D" w14:paraId="62B97A74" w14:textId="77777777" w:rsidTr="00326734">
        <w:trPr>
          <w:cantSplit/>
          <w:trHeight w:val="1214"/>
        </w:trPr>
        <w:tc>
          <w:tcPr>
            <w:tcW w:w="1044" w:type="dxa"/>
          </w:tcPr>
          <w:p w14:paraId="4C6EE72F" w14:textId="134FE00C"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I/</w:t>
            </w:r>
            <w:r w:rsidR="00436FFB">
              <w:rPr>
                <w:rFonts w:ascii="Arial" w:hAnsi="Arial" w:cs="Arial"/>
                <w:sz w:val="16"/>
                <w:szCs w:val="16"/>
                <w:lang w:val="en-GB"/>
              </w:rPr>
              <w:t>3</w:t>
            </w:r>
          </w:p>
        </w:tc>
        <w:tc>
          <w:tcPr>
            <w:tcW w:w="1224" w:type="dxa"/>
          </w:tcPr>
          <w:p w14:paraId="55A7C5A6" w14:textId="7A09752C"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20564766" w14:textId="33D65F1D"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Paragraph 4 Page 4</w:t>
            </w:r>
          </w:p>
        </w:tc>
        <w:tc>
          <w:tcPr>
            <w:tcW w:w="2268" w:type="dxa"/>
          </w:tcPr>
          <w:p w14:paraId="28FDE295" w14:textId="17C4BAEE"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EEA2F65" w14:textId="6B2E689F" w:rsidR="00581CAE" w:rsidRPr="00151940" w:rsidRDefault="00581CAE" w:rsidP="00581CAE">
            <w:pPr>
              <w:keepLines/>
              <w:spacing w:before="120"/>
              <w:rPr>
                <w:rFonts w:ascii="Arial" w:hAnsi="Arial" w:cs="Arial"/>
                <w:sz w:val="16"/>
                <w:szCs w:val="16"/>
                <w:lang w:val="en-GB"/>
              </w:rPr>
            </w:pPr>
            <w:r w:rsidRPr="00A90B66">
              <w:rPr>
                <w:rFonts w:ascii="Arial" w:hAnsi="Arial" w:cs="Arial"/>
                <w:sz w:val="16"/>
                <w:szCs w:val="16"/>
                <w:lang w:val="en-GB"/>
              </w:rPr>
              <w:t>It is preferable to use the same term</w:t>
            </w:r>
            <w:r>
              <w:rPr>
                <w:rFonts w:ascii="Arial" w:hAnsi="Arial" w:cs="Arial"/>
                <w:sz w:val="16"/>
                <w:szCs w:val="16"/>
                <w:lang w:val="en-GB"/>
              </w:rPr>
              <w:t>s to refer to</w:t>
            </w:r>
            <w:r w:rsidRPr="00A90B66">
              <w:rPr>
                <w:rFonts w:ascii="Arial" w:hAnsi="Arial" w:cs="Arial"/>
                <w:sz w:val="16"/>
                <w:szCs w:val="16"/>
                <w:lang w:val="en-GB"/>
              </w:rPr>
              <w:t xml:space="preserve"> the g</w:t>
            </w:r>
            <w:r>
              <w:rPr>
                <w:rFonts w:ascii="Arial" w:hAnsi="Arial" w:cs="Arial"/>
                <w:sz w:val="16"/>
                <w:szCs w:val="16"/>
                <w:lang w:val="en-GB"/>
              </w:rPr>
              <w:t xml:space="preserve">uidelines to be provided by </w:t>
            </w:r>
            <w:r w:rsidRPr="00A90B66">
              <w:rPr>
                <w:rFonts w:ascii="Arial" w:hAnsi="Arial" w:cs="Arial"/>
                <w:sz w:val="16"/>
                <w:szCs w:val="16"/>
                <w:lang w:val="en-GB"/>
              </w:rPr>
              <w:t>CEPT, otherwise there is a risk of misunderstandings and it seems that they are different things.</w:t>
            </w:r>
            <w:r>
              <w:rPr>
                <w:rFonts w:ascii="Arial" w:hAnsi="Arial" w:cs="Arial"/>
                <w:sz w:val="16"/>
                <w:szCs w:val="16"/>
                <w:lang w:val="en-GB"/>
              </w:rPr>
              <w:t xml:space="preserve"> It is suggested to always use “re</w:t>
            </w:r>
            <w:r w:rsidRPr="00A90B66">
              <w:rPr>
                <w:rFonts w:ascii="Arial" w:hAnsi="Arial" w:cs="Arial"/>
                <w:sz w:val="16"/>
                <w:szCs w:val="16"/>
                <w:lang w:val="en-GB"/>
              </w:rPr>
              <w:t>commendations</w:t>
            </w:r>
            <w:r>
              <w:rPr>
                <w:rFonts w:ascii="Arial" w:hAnsi="Arial" w:cs="Arial"/>
                <w:sz w:val="16"/>
                <w:szCs w:val="16"/>
                <w:lang w:val="en-GB"/>
              </w:rPr>
              <w:t>” or “guidelines”</w:t>
            </w:r>
          </w:p>
        </w:tc>
        <w:tc>
          <w:tcPr>
            <w:tcW w:w="4678" w:type="dxa"/>
          </w:tcPr>
          <w:p w14:paraId="6928F12F" w14:textId="7FBAA077" w:rsidR="00581CAE" w:rsidRPr="00A90B66" w:rsidRDefault="00581CAE" w:rsidP="00581CAE">
            <w:pPr>
              <w:spacing w:before="120"/>
              <w:rPr>
                <w:lang w:val="en-US"/>
              </w:rPr>
            </w:pPr>
            <w:r w:rsidRPr="0084178D">
              <w:rPr>
                <w:lang w:val="en-US"/>
              </w:rPr>
              <w:t xml:space="preserve">CEPT is developing </w:t>
            </w:r>
            <w:proofErr w:type="spellStart"/>
            <w:ins w:id="5" w:author="Italy" w:date="2024-04-18T11:49:00Z">
              <w:r w:rsidRPr="0084178D">
                <w:rPr>
                  <w:lang w:val="en-US"/>
                </w:rPr>
                <w:t>recommendations</w:t>
              </w:r>
            </w:ins>
            <w:del w:id="6" w:author="Italy" w:date="2024-04-18T11:49:00Z">
              <w:r w:rsidRPr="0084178D" w:rsidDel="007323DC">
                <w:rPr>
                  <w:lang w:val="en-US"/>
                </w:rPr>
                <w:delText xml:space="preserve">a toolbox </w:delText>
              </w:r>
            </w:del>
            <w:r w:rsidRPr="0084178D">
              <w:rPr>
                <w:lang w:val="en-US"/>
              </w:rPr>
              <w:t>for</w:t>
            </w:r>
            <w:proofErr w:type="spellEnd"/>
            <w:r w:rsidRPr="0084178D">
              <w:rPr>
                <w:lang w:val="en-US"/>
              </w:rPr>
              <w:t xml:space="preserve"> administrations to provide guidance on the approach to coexistence in the band. There may be also a need to further develop relevant cross border recommendations.</w:t>
            </w:r>
          </w:p>
        </w:tc>
      </w:tr>
      <w:tr w:rsidR="00581CAE" w:rsidRPr="0027550D" w14:paraId="35418772" w14:textId="77777777" w:rsidTr="00326734">
        <w:trPr>
          <w:cantSplit/>
          <w:trHeight w:val="1214"/>
        </w:trPr>
        <w:tc>
          <w:tcPr>
            <w:tcW w:w="1044" w:type="dxa"/>
          </w:tcPr>
          <w:p w14:paraId="34504482" w14:textId="73FE0C4C"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lastRenderedPageBreak/>
              <w:t>I/</w:t>
            </w:r>
            <w:r w:rsidR="00436FFB">
              <w:rPr>
                <w:rFonts w:ascii="Arial" w:hAnsi="Arial" w:cs="Arial"/>
                <w:sz w:val="16"/>
                <w:szCs w:val="16"/>
                <w:lang w:val="en-GB"/>
              </w:rPr>
              <w:t>4</w:t>
            </w:r>
          </w:p>
        </w:tc>
        <w:tc>
          <w:tcPr>
            <w:tcW w:w="1224" w:type="dxa"/>
          </w:tcPr>
          <w:p w14:paraId="0661021A" w14:textId="149427FA"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1</w:t>
            </w:r>
          </w:p>
        </w:tc>
        <w:tc>
          <w:tcPr>
            <w:tcW w:w="1276" w:type="dxa"/>
          </w:tcPr>
          <w:p w14:paraId="37034B0A" w14:textId="7777777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1</w:t>
            </w:r>
          </w:p>
          <w:p w14:paraId="529A4EE0" w14:textId="02ADB24D"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Page 9</w:t>
            </w:r>
          </w:p>
        </w:tc>
        <w:tc>
          <w:tcPr>
            <w:tcW w:w="2268" w:type="dxa"/>
          </w:tcPr>
          <w:p w14:paraId="04D0C065" w14:textId="642DE474"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57718E13" w14:textId="5B535C8D" w:rsidR="00581CAE" w:rsidRPr="00151940" w:rsidRDefault="00581CAE" w:rsidP="00581CAE">
            <w:pPr>
              <w:keepLines/>
              <w:spacing w:before="120"/>
              <w:rPr>
                <w:rFonts w:ascii="Arial" w:hAnsi="Arial" w:cs="Arial"/>
                <w:sz w:val="16"/>
                <w:szCs w:val="16"/>
                <w:lang w:val="en-GB"/>
              </w:rPr>
            </w:pPr>
            <w:r w:rsidRPr="00A90B66">
              <w:rPr>
                <w:rFonts w:ascii="Arial" w:hAnsi="Arial" w:cs="Arial"/>
                <w:sz w:val="16"/>
                <w:szCs w:val="16"/>
                <w:lang w:val="en-GB"/>
              </w:rPr>
              <w:t>It is clearer to have separate bullet points for in-band studies and those in adjacent bands</w:t>
            </w:r>
            <w:r>
              <w:rPr>
                <w:rFonts w:ascii="Arial" w:hAnsi="Arial" w:cs="Arial"/>
                <w:sz w:val="16"/>
                <w:szCs w:val="16"/>
                <w:lang w:val="en-GB"/>
              </w:rPr>
              <w:t>.</w:t>
            </w:r>
          </w:p>
        </w:tc>
        <w:tc>
          <w:tcPr>
            <w:tcW w:w="4678" w:type="dxa"/>
          </w:tcPr>
          <w:p w14:paraId="7D08F689" w14:textId="5EA5F522" w:rsidR="00581CAE" w:rsidRPr="007323DC" w:rsidRDefault="00581CAE" w:rsidP="00581CAE">
            <w:r>
              <w:rPr>
                <w:rFonts w:ascii="Arial" w:hAnsi="Arial" w:cs="Arial"/>
                <w:sz w:val="16"/>
                <w:szCs w:val="16"/>
                <w:lang w:val="en-GB"/>
              </w:rPr>
              <w:t>…</w:t>
            </w:r>
            <w:r w:rsidRPr="00B06AF7">
              <w:t xml:space="preserve"> </w:t>
            </w:r>
            <w:proofErr w:type="spellStart"/>
            <w:r w:rsidRPr="007323DC">
              <w:t>results</w:t>
            </w:r>
            <w:proofErr w:type="spellEnd"/>
            <w:r w:rsidRPr="007323DC">
              <w:t xml:space="preserve"> of:</w:t>
            </w:r>
          </w:p>
          <w:p w14:paraId="5BE6E4D9" w14:textId="77777777" w:rsidR="00581CAE" w:rsidRPr="007323DC" w:rsidRDefault="00581CAE" w:rsidP="00581CAE">
            <w:pPr>
              <w:pStyle w:val="ECCBulletsLv1"/>
              <w:rPr>
                <w:rFonts w:ascii="Times New Roman" w:hAnsi="Times New Roman"/>
                <w:sz w:val="24"/>
                <w:szCs w:val="24"/>
              </w:rPr>
            </w:pPr>
            <w:r w:rsidRPr="007323DC">
              <w:rPr>
                <w:rFonts w:ascii="Times New Roman" w:hAnsi="Times New Roman"/>
                <w:sz w:val="24"/>
                <w:szCs w:val="24"/>
              </w:rPr>
              <w:t>sharing and compatibility studies between WBB LMP networks;</w:t>
            </w:r>
          </w:p>
          <w:p w14:paraId="6E42649B" w14:textId="77777777" w:rsidR="00581CAE" w:rsidRDefault="00581CAE" w:rsidP="00581CAE">
            <w:pPr>
              <w:pStyle w:val="ECCBulletsLv1"/>
              <w:rPr>
                <w:ins w:id="7" w:author="Italy" w:date="2024-04-18T11:50:00Z"/>
                <w:rFonts w:ascii="Times New Roman" w:hAnsi="Times New Roman"/>
                <w:sz w:val="24"/>
                <w:szCs w:val="24"/>
              </w:rPr>
            </w:pPr>
            <w:r w:rsidRPr="007323DC">
              <w:rPr>
                <w:rFonts w:ascii="Times New Roman" w:hAnsi="Times New Roman"/>
                <w:sz w:val="24"/>
                <w:szCs w:val="24"/>
              </w:rPr>
              <w:t xml:space="preserve">sharing and compatibility studies between WBB LMP networks and incumbent users in the 3.8-4.2 GHz frequency band, notably receiving satellite earth stations in the fixed satellite service and terrestrial fixed links to ensure the protection and the future evolution and development of incumbent users sharing this band and, </w:t>
            </w:r>
          </w:p>
          <w:p w14:paraId="718EBE04" w14:textId="083B83F8" w:rsidR="00581CAE" w:rsidRPr="007323DC" w:rsidRDefault="00581CAE" w:rsidP="00581CAE">
            <w:pPr>
              <w:pStyle w:val="ECCBulletsLv1"/>
              <w:rPr>
                <w:rFonts w:ascii="Times New Roman" w:hAnsi="Times New Roman"/>
                <w:sz w:val="24"/>
                <w:szCs w:val="24"/>
              </w:rPr>
            </w:pPr>
            <w:proofErr w:type="gramStart"/>
            <w:r w:rsidRPr="007323DC">
              <w:rPr>
                <w:rFonts w:ascii="Times New Roman" w:hAnsi="Times New Roman"/>
                <w:sz w:val="24"/>
                <w:szCs w:val="24"/>
              </w:rPr>
              <w:t>sharing</w:t>
            </w:r>
            <w:proofErr w:type="gramEnd"/>
            <w:r w:rsidRPr="007323DC">
              <w:rPr>
                <w:rFonts w:ascii="Times New Roman" w:hAnsi="Times New Roman"/>
                <w:sz w:val="24"/>
                <w:szCs w:val="24"/>
              </w:rPr>
              <w:t xml:space="preserve"> and compatibility studies between WBB LMP networks and spectrum users in adjacent bands (such as MFCN below 3.8 GHz). </w:t>
            </w:r>
          </w:p>
          <w:p w14:paraId="3A644F43" w14:textId="0C1C8E6D" w:rsidR="00581CAE" w:rsidRPr="00151940" w:rsidRDefault="00581CAE" w:rsidP="00581CAE">
            <w:pPr>
              <w:spacing w:before="120"/>
              <w:rPr>
                <w:rFonts w:ascii="Arial" w:hAnsi="Arial" w:cs="Arial"/>
                <w:sz w:val="16"/>
                <w:szCs w:val="16"/>
                <w:lang w:val="en-GB"/>
              </w:rPr>
            </w:pPr>
          </w:p>
        </w:tc>
      </w:tr>
      <w:tr w:rsidR="00581CAE" w:rsidRPr="0027550D" w14:paraId="3A69FA79" w14:textId="77777777" w:rsidTr="00326734">
        <w:trPr>
          <w:cantSplit/>
          <w:trHeight w:val="1214"/>
        </w:trPr>
        <w:tc>
          <w:tcPr>
            <w:tcW w:w="1044" w:type="dxa"/>
          </w:tcPr>
          <w:p w14:paraId="488568D7" w14:textId="1C099D6D" w:rsidR="00581CAE" w:rsidRDefault="00581CAE" w:rsidP="00581CAE">
            <w:pPr>
              <w:keepLines/>
              <w:spacing w:before="120"/>
              <w:rPr>
                <w:rFonts w:ascii="Arial" w:hAnsi="Arial" w:cs="Arial"/>
                <w:sz w:val="16"/>
                <w:szCs w:val="16"/>
                <w:lang w:val="en-GB"/>
              </w:rPr>
            </w:pPr>
            <w:r>
              <w:rPr>
                <w:rFonts w:ascii="Arial" w:hAnsi="Arial" w:cs="Arial"/>
                <w:sz w:val="16"/>
                <w:szCs w:val="16"/>
                <w:lang w:val="en-GB"/>
              </w:rPr>
              <w:t>I/</w:t>
            </w:r>
            <w:r w:rsidR="00436FFB">
              <w:rPr>
                <w:rFonts w:ascii="Arial" w:hAnsi="Arial" w:cs="Arial"/>
                <w:sz w:val="16"/>
                <w:szCs w:val="16"/>
                <w:lang w:val="en-GB"/>
              </w:rPr>
              <w:t>5</w:t>
            </w:r>
          </w:p>
        </w:tc>
        <w:tc>
          <w:tcPr>
            <w:tcW w:w="1224" w:type="dxa"/>
          </w:tcPr>
          <w:p w14:paraId="4113E269" w14:textId="621150BB" w:rsidR="00581CAE" w:rsidRDefault="00581CAE" w:rsidP="00581CAE">
            <w:pPr>
              <w:keepLines/>
              <w:spacing w:before="120"/>
              <w:rPr>
                <w:rFonts w:ascii="Arial" w:hAnsi="Arial" w:cs="Arial"/>
                <w:sz w:val="16"/>
                <w:szCs w:val="16"/>
                <w:lang w:val="en-GB"/>
              </w:rPr>
            </w:pPr>
            <w:r>
              <w:rPr>
                <w:rFonts w:ascii="Arial" w:hAnsi="Arial" w:cs="Arial"/>
                <w:sz w:val="16"/>
                <w:szCs w:val="16"/>
                <w:lang w:val="en-GB"/>
              </w:rPr>
              <w:t>3</w:t>
            </w:r>
          </w:p>
        </w:tc>
        <w:tc>
          <w:tcPr>
            <w:tcW w:w="1276" w:type="dxa"/>
          </w:tcPr>
          <w:p w14:paraId="32E1BBF9" w14:textId="4D52FD1C"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1 Page 12</w:t>
            </w:r>
          </w:p>
        </w:tc>
        <w:tc>
          <w:tcPr>
            <w:tcW w:w="2268" w:type="dxa"/>
          </w:tcPr>
          <w:p w14:paraId="18F51387" w14:textId="03C4F996" w:rsidR="00581CAE" w:rsidRDefault="00581CAE" w:rsidP="00581CAE">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0CFAF43E" w14:textId="36A79DE0" w:rsidR="00581CAE" w:rsidRPr="00A90B66" w:rsidRDefault="00581CAE" w:rsidP="00581CAE">
            <w:pPr>
              <w:keepLines/>
              <w:spacing w:before="120"/>
              <w:rPr>
                <w:rFonts w:ascii="Arial" w:hAnsi="Arial" w:cs="Arial"/>
                <w:sz w:val="16"/>
                <w:szCs w:val="16"/>
                <w:lang w:val="en-GB"/>
              </w:rPr>
            </w:pPr>
            <w:r w:rsidRPr="006D5088">
              <w:rPr>
                <w:rFonts w:ascii="Arial" w:hAnsi="Arial" w:cs="Arial"/>
                <w:sz w:val="16"/>
                <w:szCs w:val="16"/>
                <w:lang w:val="en-GB"/>
              </w:rPr>
              <w:t>it is proposed to specify that the allocations refer to the ECA table to be found in EFIS because it is more correct</w:t>
            </w:r>
          </w:p>
        </w:tc>
        <w:tc>
          <w:tcPr>
            <w:tcW w:w="4678" w:type="dxa"/>
          </w:tcPr>
          <w:p w14:paraId="1278ABF8" w14:textId="57605E8F" w:rsidR="00581CAE" w:rsidRDefault="00581CAE" w:rsidP="00581CAE">
            <w:pPr>
              <w:rPr>
                <w:rFonts w:ascii="Arial" w:hAnsi="Arial" w:cs="Arial"/>
                <w:sz w:val="16"/>
                <w:szCs w:val="16"/>
                <w:lang w:val="en-GB"/>
              </w:rPr>
            </w:pPr>
            <w:r w:rsidRPr="00736607">
              <w:rPr>
                <w:lang w:val="en-GB"/>
              </w:rPr>
              <w:t xml:space="preserve">Allocation of services and application according to </w:t>
            </w:r>
            <w:ins w:id="8" w:author="Italy" w:date="2024-04-18T14:51:00Z">
              <w:r w:rsidRPr="00736607">
                <w:rPr>
                  <w:lang w:val="en-GB"/>
                </w:rPr>
                <w:t xml:space="preserve">ECA Table [3] in </w:t>
              </w:r>
            </w:ins>
            <w:r w:rsidRPr="00736607">
              <w:rPr>
                <w:lang w:val="en-GB"/>
              </w:rPr>
              <w:t>ECO Frequency Information System (EFIS) for frequency range 3400-4400 MHz are provided in Table 1.</w:t>
            </w:r>
          </w:p>
        </w:tc>
      </w:tr>
      <w:tr w:rsidR="00581CAE" w14:paraId="4CEF4E7C" w14:textId="77777777" w:rsidTr="00181F10">
        <w:trPr>
          <w:cantSplit/>
          <w:trHeight w:val="1214"/>
        </w:trPr>
        <w:tc>
          <w:tcPr>
            <w:tcW w:w="1044" w:type="dxa"/>
          </w:tcPr>
          <w:p w14:paraId="281703E1" w14:textId="46F827B6" w:rsidR="00581CAE" w:rsidRDefault="00581CAE" w:rsidP="00581CAE">
            <w:pPr>
              <w:keepLines/>
              <w:spacing w:before="120"/>
              <w:rPr>
                <w:ins w:id="9" w:author="Italy" w:date="2024-04-18T14:48:00Z"/>
                <w:rFonts w:ascii="Arial" w:hAnsi="Arial" w:cs="Arial"/>
                <w:sz w:val="16"/>
                <w:szCs w:val="16"/>
                <w:lang w:val="en-GB"/>
              </w:rPr>
            </w:pPr>
            <w:r>
              <w:rPr>
                <w:rFonts w:ascii="Arial" w:hAnsi="Arial" w:cs="Arial"/>
                <w:sz w:val="16"/>
                <w:szCs w:val="16"/>
                <w:lang w:val="en-GB"/>
              </w:rPr>
              <w:t>I/</w:t>
            </w:r>
            <w:r w:rsidR="00436FFB">
              <w:rPr>
                <w:rFonts w:ascii="Arial" w:hAnsi="Arial" w:cs="Arial"/>
                <w:sz w:val="16"/>
                <w:szCs w:val="16"/>
                <w:lang w:val="en-GB"/>
              </w:rPr>
              <w:t>6</w:t>
            </w:r>
          </w:p>
        </w:tc>
        <w:tc>
          <w:tcPr>
            <w:tcW w:w="1224" w:type="dxa"/>
          </w:tcPr>
          <w:p w14:paraId="15FC9BEB" w14:textId="77777777" w:rsidR="00581CAE" w:rsidRDefault="00581CAE" w:rsidP="00581CAE">
            <w:pPr>
              <w:keepLines/>
              <w:spacing w:before="120"/>
              <w:rPr>
                <w:ins w:id="10" w:author="Italy" w:date="2024-04-18T14:48:00Z"/>
                <w:rFonts w:ascii="Arial" w:hAnsi="Arial" w:cs="Arial"/>
                <w:sz w:val="16"/>
                <w:szCs w:val="16"/>
                <w:lang w:val="en-GB"/>
              </w:rPr>
            </w:pPr>
            <w:r>
              <w:rPr>
                <w:rFonts w:ascii="Arial" w:hAnsi="Arial" w:cs="Arial"/>
                <w:sz w:val="16"/>
                <w:szCs w:val="16"/>
                <w:lang w:val="en-GB"/>
              </w:rPr>
              <w:t>3</w:t>
            </w:r>
          </w:p>
        </w:tc>
        <w:tc>
          <w:tcPr>
            <w:tcW w:w="1276" w:type="dxa"/>
          </w:tcPr>
          <w:p w14:paraId="16F63D4C" w14:textId="77777777" w:rsidR="00581CAE" w:rsidRDefault="00581CAE" w:rsidP="00581CAE">
            <w:pPr>
              <w:keepLines/>
              <w:spacing w:before="120"/>
              <w:rPr>
                <w:ins w:id="11" w:author="Italy" w:date="2024-04-18T14:48:00Z"/>
                <w:rFonts w:ascii="Arial" w:hAnsi="Arial" w:cs="Arial"/>
                <w:sz w:val="16"/>
                <w:szCs w:val="16"/>
                <w:lang w:val="en-GB"/>
              </w:rPr>
            </w:pPr>
            <w:r>
              <w:rPr>
                <w:rFonts w:ascii="Arial" w:hAnsi="Arial" w:cs="Arial"/>
                <w:sz w:val="16"/>
                <w:szCs w:val="16"/>
                <w:lang w:val="en-GB"/>
              </w:rPr>
              <w:t>Table 1 Page12</w:t>
            </w:r>
          </w:p>
        </w:tc>
        <w:tc>
          <w:tcPr>
            <w:tcW w:w="2268" w:type="dxa"/>
          </w:tcPr>
          <w:p w14:paraId="7F9A458D" w14:textId="77777777" w:rsidR="00581CAE" w:rsidRDefault="00581CAE" w:rsidP="00581CAE">
            <w:pPr>
              <w:keepLines/>
              <w:spacing w:before="120"/>
              <w:rPr>
                <w:ins w:id="12" w:author="Italy" w:date="2024-04-18T14:48:00Z"/>
                <w:rFonts w:ascii="Arial" w:hAnsi="Arial" w:cs="Arial"/>
                <w:sz w:val="16"/>
                <w:szCs w:val="16"/>
                <w:lang w:val="en-GB"/>
              </w:rPr>
            </w:pPr>
            <w:r>
              <w:rPr>
                <w:rFonts w:ascii="Arial" w:hAnsi="Arial" w:cs="Arial"/>
                <w:sz w:val="16"/>
                <w:szCs w:val="16"/>
                <w:lang w:val="en-GB"/>
              </w:rPr>
              <w:t>Technical</w:t>
            </w:r>
          </w:p>
        </w:tc>
        <w:tc>
          <w:tcPr>
            <w:tcW w:w="3402" w:type="dxa"/>
          </w:tcPr>
          <w:p w14:paraId="5C6B3439" w14:textId="77777777" w:rsidR="00581CAE" w:rsidRDefault="00581CAE" w:rsidP="00581CAE">
            <w:pPr>
              <w:keepLines/>
              <w:spacing w:before="120"/>
              <w:rPr>
                <w:rFonts w:ascii="Arial" w:hAnsi="Arial" w:cs="Arial"/>
                <w:sz w:val="16"/>
                <w:szCs w:val="16"/>
                <w:lang w:val="en-GB"/>
              </w:rPr>
            </w:pPr>
            <w:r w:rsidRPr="005575A9">
              <w:rPr>
                <w:rFonts w:ascii="Arial" w:hAnsi="Arial" w:cs="Arial"/>
                <w:sz w:val="16"/>
                <w:szCs w:val="16"/>
                <w:lang w:val="en-GB"/>
              </w:rPr>
              <w:t xml:space="preserve">Proposal to include </w:t>
            </w:r>
            <w:r>
              <w:rPr>
                <w:rFonts w:ascii="Arial" w:hAnsi="Arial" w:cs="Arial"/>
                <w:sz w:val="16"/>
                <w:szCs w:val="16"/>
                <w:lang w:val="en-GB"/>
              </w:rPr>
              <w:t xml:space="preserve">in Table 1 </w:t>
            </w:r>
            <w:r w:rsidRPr="005575A9">
              <w:rPr>
                <w:rFonts w:ascii="Arial" w:hAnsi="Arial" w:cs="Arial"/>
                <w:sz w:val="16"/>
                <w:szCs w:val="16"/>
                <w:lang w:val="en-GB"/>
              </w:rPr>
              <w:t>the information that</w:t>
            </w:r>
            <w:r>
              <w:rPr>
                <w:rFonts w:ascii="Arial" w:hAnsi="Arial" w:cs="Arial"/>
                <w:sz w:val="16"/>
                <w:szCs w:val="16"/>
                <w:lang w:val="en-GB"/>
              </w:rPr>
              <w:t xml:space="preserve"> t</w:t>
            </w:r>
            <w:r w:rsidRPr="005575A9">
              <w:rPr>
                <w:rFonts w:ascii="Arial" w:hAnsi="Arial" w:cs="Arial"/>
                <w:sz w:val="16"/>
                <w:szCs w:val="16"/>
                <w:lang w:val="en-GB"/>
              </w:rPr>
              <w:t xml:space="preserve">he band 3800-4200 MHz is allocated on a secondary </w:t>
            </w:r>
            <w:r>
              <w:rPr>
                <w:rFonts w:ascii="Arial" w:hAnsi="Arial" w:cs="Arial"/>
                <w:sz w:val="16"/>
                <w:szCs w:val="16"/>
                <w:lang w:val="en-GB"/>
              </w:rPr>
              <w:t xml:space="preserve">basis in the Radio Regulations </w:t>
            </w:r>
            <w:r w:rsidRPr="005575A9">
              <w:rPr>
                <w:rFonts w:ascii="Arial" w:hAnsi="Arial" w:cs="Arial"/>
                <w:sz w:val="16"/>
                <w:szCs w:val="16"/>
                <w:lang w:val="en-GB"/>
              </w:rPr>
              <w:t>in Region 1</w:t>
            </w:r>
            <w:r>
              <w:rPr>
                <w:rFonts w:ascii="Arial" w:hAnsi="Arial" w:cs="Arial"/>
                <w:sz w:val="16"/>
                <w:szCs w:val="16"/>
                <w:lang w:val="en-GB"/>
              </w:rPr>
              <w:t xml:space="preserve"> and that in </w:t>
            </w:r>
            <w:r w:rsidRPr="005575A9">
              <w:rPr>
                <w:rFonts w:ascii="Arial" w:hAnsi="Arial" w:cs="Arial"/>
                <w:sz w:val="16"/>
                <w:szCs w:val="16"/>
                <w:lang w:val="en-GB"/>
              </w:rPr>
              <w:t>some CEPT countries the mobile service may be on secondary basis</w:t>
            </w:r>
            <w:r>
              <w:rPr>
                <w:rFonts w:ascii="Arial" w:hAnsi="Arial" w:cs="Arial"/>
                <w:sz w:val="16"/>
                <w:szCs w:val="16"/>
                <w:lang w:val="en-GB"/>
              </w:rPr>
              <w:t>.</w:t>
            </w:r>
          </w:p>
          <w:p w14:paraId="17BF4E3E" w14:textId="77777777" w:rsidR="00581CAE" w:rsidRPr="00A90B66" w:rsidRDefault="00581CAE" w:rsidP="00581CAE">
            <w:pPr>
              <w:keepLines/>
              <w:spacing w:before="120"/>
              <w:rPr>
                <w:ins w:id="13" w:author="Italy" w:date="2024-04-18T14:48:00Z"/>
                <w:rFonts w:ascii="Arial" w:hAnsi="Arial" w:cs="Arial"/>
                <w:sz w:val="16"/>
                <w:szCs w:val="16"/>
                <w:lang w:val="en-GB"/>
              </w:rPr>
            </w:pPr>
            <w:r>
              <w:rPr>
                <w:rFonts w:ascii="Arial" w:hAnsi="Arial" w:cs="Arial"/>
                <w:sz w:val="16"/>
                <w:szCs w:val="16"/>
                <w:lang w:val="en-GB"/>
              </w:rPr>
              <w:t xml:space="preserve">In fact </w:t>
            </w:r>
            <w:r w:rsidRPr="005575A9">
              <w:rPr>
                <w:rFonts w:ascii="Arial" w:hAnsi="Arial" w:cs="Arial"/>
                <w:sz w:val="16"/>
                <w:szCs w:val="16"/>
                <w:lang w:val="en-GB"/>
              </w:rPr>
              <w:t>if in the E</w:t>
            </w:r>
            <w:r>
              <w:rPr>
                <w:rFonts w:ascii="Arial" w:hAnsi="Arial" w:cs="Arial"/>
                <w:sz w:val="16"/>
                <w:szCs w:val="16"/>
                <w:lang w:val="en-GB"/>
              </w:rPr>
              <w:t>CA table there is an allocation</w:t>
            </w:r>
            <w:r w:rsidRPr="005575A9">
              <w:rPr>
                <w:rFonts w:ascii="Arial" w:hAnsi="Arial" w:cs="Arial"/>
                <w:sz w:val="16"/>
                <w:szCs w:val="16"/>
                <w:lang w:val="en-GB"/>
              </w:rPr>
              <w:t xml:space="preserve"> to the mobile as primary status, it means that there are at least 15 CEPT countries that have the mobile as primary</w:t>
            </w:r>
            <w:r>
              <w:rPr>
                <w:rFonts w:ascii="Arial" w:hAnsi="Arial" w:cs="Arial"/>
                <w:sz w:val="16"/>
                <w:szCs w:val="16"/>
                <w:lang w:val="en-GB"/>
              </w:rPr>
              <w:t xml:space="preserve"> in the band</w:t>
            </w:r>
            <w:r w:rsidRPr="005575A9">
              <w:rPr>
                <w:rFonts w:ascii="Arial" w:hAnsi="Arial" w:cs="Arial"/>
                <w:sz w:val="16"/>
                <w:szCs w:val="16"/>
                <w:lang w:val="en-GB"/>
              </w:rPr>
              <w:t>, but the rest could have the mobile as secondary according to the RR</w:t>
            </w:r>
            <w:r>
              <w:rPr>
                <w:rFonts w:ascii="Arial" w:hAnsi="Arial" w:cs="Arial"/>
                <w:sz w:val="16"/>
                <w:szCs w:val="16"/>
                <w:lang w:val="en-GB"/>
              </w:rPr>
              <w:t>.</w:t>
            </w:r>
          </w:p>
        </w:tc>
        <w:tc>
          <w:tcPr>
            <w:tcW w:w="4678" w:type="dxa"/>
          </w:tcPr>
          <w:p w14:paraId="21296AB4" w14:textId="67F3D006" w:rsidR="00581CAE" w:rsidRDefault="00581CAE" w:rsidP="00581CAE">
            <w:pPr>
              <w:rPr>
                <w:ins w:id="14" w:author="Italy" w:date="2024-04-18T14:48:00Z"/>
                <w:rFonts w:ascii="Arial" w:hAnsi="Arial" w:cs="Arial"/>
                <w:sz w:val="16"/>
                <w:szCs w:val="16"/>
                <w:lang w:val="en-GB"/>
              </w:rPr>
            </w:pPr>
            <w:ins w:id="15" w:author="Italy" w:date="2024-04-18T15:10:00Z">
              <w:r w:rsidRPr="00B06AF7">
                <w:t>Note</w:t>
              </w:r>
              <w:r>
                <w:t>1</w:t>
              </w:r>
              <w:r w:rsidRPr="00B06AF7">
                <w:t>:</w:t>
              </w:r>
              <w:r>
                <w:t xml:space="preserve"> T</w:t>
              </w:r>
              <w:r w:rsidRPr="00C80CE8">
                <w:t xml:space="preserve">he band </w:t>
              </w:r>
              <w:r>
                <w:t>3800-4200 MHz</w:t>
              </w:r>
              <w:r w:rsidRPr="00C80CE8">
                <w:t xml:space="preserve"> </w:t>
              </w:r>
              <w:proofErr w:type="spellStart"/>
              <w:r w:rsidRPr="00C80CE8">
                <w:t>is</w:t>
              </w:r>
              <w:proofErr w:type="spellEnd"/>
              <w:r w:rsidRPr="00C80CE8">
                <w:t xml:space="preserve"> </w:t>
              </w:r>
              <w:proofErr w:type="spellStart"/>
              <w:r w:rsidRPr="00C80CE8">
                <w:t>allocated</w:t>
              </w:r>
              <w:proofErr w:type="spellEnd"/>
              <w:r w:rsidRPr="00C80CE8">
                <w:t xml:space="preserve"> on a </w:t>
              </w:r>
              <w:proofErr w:type="spellStart"/>
              <w:r>
                <w:t>secondary</w:t>
              </w:r>
              <w:proofErr w:type="spellEnd"/>
              <w:r>
                <w:t xml:space="preserve"> basis</w:t>
              </w:r>
              <w:r w:rsidRPr="00C80CE8">
                <w:t xml:space="preserve"> </w:t>
              </w:r>
              <w:r>
                <w:t xml:space="preserve">in the Radio </w:t>
              </w:r>
              <w:proofErr w:type="spellStart"/>
              <w:r>
                <w:t>Regulations</w:t>
              </w:r>
              <w:proofErr w:type="spellEnd"/>
              <w:r>
                <w:t xml:space="preserve"> </w:t>
              </w:r>
              <w:r>
                <w:fldChar w:fldCharType="begin"/>
              </w:r>
              <w:r>
                <w:instrText xml:space="preserve"> REF _Ref164335521 \r \h  \* MERGEFORMAT </w:instrText>
              </w:r>
            </w:ins>
            <w:ins w:id="16" w:author="Italy" w:date="2024-04-18T15:10:00Z">
              <w:r>
                <w:fldChar w:fldCharType="separate"/>
              </w:r>
              <w:r>
                <w:t>[</w:t>
              </w:r>
            </w:ins>
            <w:r>
              <w:t>4</w:t>
            </w:r>
            <w:ins w:id="17" w:author="Italy" w:date="2024-04-18T15:10:00Z">
              <w:r>
                <w:t>]</w:t>
              </w:r>
              <w:r>
                <w:fldChar w:fldCharType="end"/>
              </w:r>
              <w:r>
                <w:t xml:space="preserve"> in </w:t>
              </w:r>
              <w:proofErr w:type="spellStart"/>
              <w:r>
                <w:t>Region</w:t>
              </w:r>
              <w:proofErr w:type="spellEnd"/>
              <w:r>
                <w:t xml:space="preserve"> 1 </w:t>
              </w:r>
              <w:r w:rsidRPr="00C80CE8">
                <w:t xml:space="preserve">to the </w:t>
              </w:r>
              <w:r>
                <w:t>mobile service and in</w:t>
              </w:r>
              <w:r w:rsidRPr="00C80CE8">
                <w:t xml:space="preserve"> </w:t>
              </w:r>
              <w:proofErr w:type="spellStart"/>
              <w:r w:rsidRPr="00C80CE8">
                <w:t>some</w:t>
              </w:r>
              <w:proofErr w:type="spellEnd"/>
              <w:r w:rsidRPr="00C80CE8">
                <w:t xml:space="preserve"> CEPT countries the mobile service </w:t>
              </w:r>
              <w:proofErr w:type="spellStart"/>
              <w:r w:rsidRPr="00C80CE8">
                <w:t>may</w:t>
              </w:r>
              <w:proofErr w:type="spellEnd"/>
              <w:r w:rsidRPr="00C80CE8">
                <w:t xml:space="preserve"> </w:t>
              </w:r>
              <w:proofErr w:type="spellStart"/>
              <w:r w:rsidRPr="00C80CE8">
                <w:t>be</w:t>
              </w:r>
              <w:proofErr w:type="spellEnd"/>
              <w:r w:rsidRPr="00C80CE8">
                <w:t xml:space="preserve"> on </w:t>
              </w:r>
              <w:proofErr w:type="spellStart"/>
              <w:r w:rsidRPr="00C80CE8">
                <w:t>seconda</w:t>
              </w:r>
              <w:bookmarkStart w:id="18" w:name="_GoBack"/>
              <w:bookmarkEnd w:id="18"/>
              <w:r w:rsidRPr="00C80CE8">
                <w:t>ry</w:t>
              </w:r>
              <w:proofErr w:type="spellEnd"/>
              <w:r w:rsidRPr="00C80CE8">
                <w:t xml:space="preserve"> basis</w:t>
              </w:r>
              <w:r>
                <w:t>.</w:t>
              </w:r>
            </w:ins>
          </w:p>
        </w:tc>
      </w:tr>
      <w:tr w:rsidR="00581CAE" w:rsidRPr="0027550D" w14:paraId="33FA6590" w14:textId="77777777" w:rsidTr="00326734">
        <w:trPr>
          <w:cantSplit/>
          <w:trHeight w:val="1214"/>
        </w:trPr>
        <w:tc>
          <w:tcPr>
            <w:tcW w:w="1044" w:type="dxa"/>
          </w:tcPr>
          <w:p w14:paraId="71EBC46E" w14:textId="2ECA5A1A" w:rsidR="00581CAE" w:rsidRDefault="00581CAE" w:rsidP="00581CAE">
            <w:pPr>
              <w:keepLines/>
              <w:spacing w:before="120"/>
              <w:rPr>
                <w:rFonts w:ascii="Arial" w:hAnsi="Arial" w:cs="Arial"/>
                <w:sz w:val="16"/>
                <w:szCs w:val="16"/>
                <w:lang w:val="en-GB"/>
              </w:rPr>
            </w:pPr>
            <w:r>
              <w:rPr>
                <w:rFonts w:ascii="Arial" w:hAnsi="Arial" w:cs="Arial"/>
                <w:sz w:val="16"/>
                <w:szCs w:val="16"/>
                <w:lang w:val="en-GB"/>
              </w:rPr>
              <w:t>I/</w:t>
            </w:r>
            <w:r w:rsidR="00436FFB">
              <w:rPr>
                <w:rFonts w:ascii="Arial" w:hAnsi="Arial" w:cs="Arial"/>
                <w:sz w:val="16"/>
                <w:szCs w:val="16"/>
                <w:lang w:val="en-GB"/>
              </w:rPr>
              <w:t>7</w:t>
            </w:r>
          </w:p>
        </w:tc>
        <w:tc>
          <w:tcPr>
            <w:tcW w:w="1224" w:type="dxa"/>
          </w:tcPr>
          <w:p w14:paraId="7CDBB52E" w14:textId="073D4C14" w:rsidR="00581CAE" w:rsidRDefault="00581CAE" w:rsidP="00581CAE">
            <w:pPr>
              <w:keepLines/>
              <w:spacing w:before="120"/>
              <w:rPr>
                <w:rFonts w:ascii="Arial" w:hAnsi="Arial" w:cs="Arial"/>
                <w:sz w:val="16"/>
                <w:szCs w:val="16"/>
                <w:lang w:val="en-GB"/>
              </w:rPr>
            </w:pPr>
            <w:r>
              <w:rPr>
                <w:rFonts w:ascii="Arial" w:hAnsi="Arial" w:cs="Arial"/>
                <w:sz w:val="16"/>
                <w:szCs w:val="16"/>
                <w:lang w:val="en-GB"/>
              </w:rPr>
              <w:t>6.2.2</w:t>
            </w:r>
          </w:p>
        </w:tc>
        <w:tc>
          <w:tcPr>
            <w:tcW w:w="1276" w:type="dxa"/>
          </w:tcPr>
          <w:p w14:paraId="13C2A46B" w14:textId="559C3E7B"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7 Page 39</w:t>
            </w:r>
          </w:p>
        </w:tc>
        <w:tc>
          <w:tcPr>
            <w:tcW w:w="2268" w:type="dxa"/>
          </w:tcPr>
          <w:p w14:paraId="2D2A5658" w14:textId="6615DCC2" w:rsidR="00581CAE" w:rsidRDefault="00581CAE" w:rsidP="00581CAE">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4C3F2DA8" w14:textId="6FC2E3C7" w:rsidR="00581CAE" w:rsidRPr="006D5088" w:rsidRDefault="00581CAE" w:rsidP="00581CAE">
            <w:pPr>
              <w:keepLines/>
              <w:spacing w:before="120"/>
              <w:rPr>
                <w:rFonts w:ascii="Arial" w:hAnsi="Arial" w:cs="Arial"/>
                <w:sz w:val="16"/>
                <w:szCs w:val="16"/>
                <w:lang w:val="en-GB"/>
              </w:rPr>
            </w:pPr>
            <w:r w:rsidRPr="000C288C">
              <w:rPr>
                <w:rFonts w:ascii="Arial" w:hAnsi="Arial" w:cs="Arial"/>
                <w:sz w:val="16"/>
                <w:szCs w:val="16"/>
                <w:lang w:val="en-GB"/>
              </w:rPr>
              <w:t>There is a minus sign which must be deleted</w:t>
            </w:r>
            <w:r>
              <w:rPr>
                <w:rFonts w:ascii="Arial" w:hAnsi="Arial" w:cs="Arial"/>
                <w:sz w:val="16"/>
                <w:szCs w:val="16"/>
                <w:lang w:val="en-GB"/>
              </w:rPr>
              <w:t>.</w:t>
            </w:r>
          </w:p>
        </w:tc>
        <w:tc>
          <w:tcPr>
            <w:tcW w:w="4678" w:type="dxa"/>
          </w:tcPr>
          <w:p w14:paraId="22A93950" w14:textId="77777777" w:rsidR="00581CAE" w:rsidRDefault="00581CAE" w:rsidP="00581CAE">
            <w:proofErr w:type="gramStart"/>
            <w:r>
              <w:t>the</w:t>
            </w:r>
            <w:proofErr w:type="gramEnd"/>
            <w:r>
              <w:t xml:space="preserve"> flat terrain and the real terrain </w:t>
            </w:r>
            <w:proofErr w:type="spellStart"/>
            <w:r>
              <w:t>elevation</w:t>
            </w:r>
            <w:proofErr w:type="spellEnd"/>
            <w:r>
              <w:t xml:space="preserve">, </w:t>
            </w:r>
            <w:proofErr w:type="spellStart"/>
            <w:r>
              <w:t>some</w:t>
            </w:r>
            <w:proofErr w:type="spellEnd"/>
            <w:r>
              <w:t xml:space="preserve"> conclusions </w:t>
            </w:r>
            <w:proofErr w:type="spellStart"/>
            <w:r>
              <w:t>can</w:t>
            </w:r>
            <w:proofErr w:type="spellEnd"/>
            <w:r>
              <w:t xml:space="preserve"> </w:t>
            </w:r>
            <w:proofErr w:type="spellStart"/>
            <w:r>
              <w:t>be</w:t>
            </w:r>
            <w:proofErr w:type="spellEnd"/>
            <w:r>
              <w:t xml:space="preserve"> </w:t>
            </w:r>
            <w:proofErr w:type="spellStart"/>
            <w:r>
              <w:t>drawn</w:t>
            </w:r>
            <w:proofErr w:type="spellEnd"/>
            <w:r>
              <w:t>:</w:t>
            </w:r>
          </w:p>
          <w:p w14:paraId="2EC76F02" w14:textId="51087AD1" w:rsidR="00581CAE" w:rsidRPr="000A3D34" w:rsidRDefault="00581CAE" w:rsidP="00581CAE">
            <w:pPr>
              <w:rPr>
                <w:lang w:val="en-GB"/>
              </w:rPr>
            </w:pPr>
            <w:r>
              <w:t></w:t>
            </w:r>
            <w:r>
              <w:tab/>
            </w:r>
            <w:del w:id="19" w:author="Italy" w:date="2024-04-18T15:21:00Z">
              <w:r w:rsidDel="000C288C">
                <w:delText xml:space="preserve">- </w:delText>
              </w:r>
            </w:del>
            <w:r>
              <w:t xml:space="preserve">The </w:t>
            </w:r>
            <w:proofErr w:type="spellStart"/>
            <w:r>
              <w:t>altimetry</w:t>
            </w:r>
            <w:proofErr w:type="spellEnd"/>
            <w:r>
              <w:t xml:space="preserve"> of the real terrain </w:t>
            </w:r>
            <w:proofErr w:type="spellStart"/>
            <w:r>
              <w:t>should</w:t>
            </w:r>
            <w:proofErr w:type="spellEnd"/>
            <w:r>
              <w:t xml:space="preserve"> </w:t>
            </w:r>
            <w:proofErr w:type="spellStart"/>
            <w:r>
              <w:t>be</w:t>
            </w:r>
            <w:proofErr w:type="spellEnd"/>
            <w:r>
              <w:t xml:space="preserve"> </w:t>
            </w:r>
            <w:proofErr w:type="spellStart"/>
            <w:r>
              <w:t>taken</w:t>
            </w:r>
            <w:proofErr w:type="spellEnd"/>
            <w:r>
              <w:t xml:space="preserve"> </w:t>
            </w:r>
            <w:proofErr w:type="spellStart"/>
            <w:r>
              <w:t>into</w:t>
            </w:r>
            <w:proofErr w:type="spellEnd"/>
            <w:r>
              <w:t xml:space="preserve"> </w:t>
            </w:r>
            <w:proofErr w:type="spellStart"/>
            <w:r>
              <w:t>account</w:t>
            </w:r>
            <w:proofErr w:type="spellEnd"/>
            <w:r>
              <w:t xml:space="preserve"> in the coexistence </w:t>
            </w:r>
            <w:proofErr w:type="spellStart"/>
            <w:r>
              <w:t>assessments</w:t>
            </w:r>
            <w:proofErr w:type="spellEnd"/>
            <w:r>
              <w:t xml:space="preserve"> on a case-by-case basis.</w:t>
            </w:r>
          </w:p>
        </w:tc>
      </w:tr>
      <w:tr w:rsidR="00581CAE" w14:paraId="1297FA3B" w14:textId="77777777" w:rsidTr="00181F10">
        <w:trPr>
          <w:cantSplit/>
          <w:trHeight w:val="1214"/>
        </w:trPr>
        <w:tc>
          <w:tcPr>
            <w:tcW w:w="1044" w:type="dxa"/>
          </w:tcPr>
          <w:p w14:paraId="6ADE7EA0" w14:textId="7F080BC0" w:rsidR="00581CAE" w:rsidRDefault="00581CAE" w:rsidP="00581CAE">
            <w:pPr>
              <w:keepLines/>
              <w:spacing w:before="120"/>
              <w:rPr>
                <w:rFonts w:ascii="Arial" w:hAnsi="Arial" w:cs="Arial"/>
                <w:sz w:val="16"/>
                <w:szCs w:val="16"/>
                <w:lang w:val="en-GB"/>
              </w:rPr>
            </w:pPr>
            <w:r>
              <w:rPr>
                <w:rFonts w:ascii="Arial" w:hAnsi="Arial" w:cs="Arial"/>
                <w:sz w:val="16"/>
                <w:szCs w:val="16"/>
                <w:lang w:val="en-GB"/>
              </w:rPr>
              <w:t>I/</w:t>
            </w:r>
            <w:r w:rsidR="00436FFB">
              <w:rPr>
                <w:rFonts w:ascii="Arial" w:hAnsi="Arial" w:cs="Arial"/>
                <w:sz w:val="16"/>
                <w:szCs w:val="16"/>
                <w:lang w:val="en-GB"/>
              </w:rPr>
              <w:t>8</w:t>
            </w:r>
          </w:p>
        </w:tc>
        <w:tc>
          <w:tcPr>
            <w:tcW w:w="1224" w:type="dxa"/>
          </w:tcPr>
          <w:p w14:paraId="74ACB982" w14:textId="69B8A728" w:rsidR="00581CAE" w:rsidRDefault="00581CAE" w:rsidP="00581CAE">
            <w:pPr>
              <w:keepLines/>
              <w:spacing w:before="120"/>
              <w:rPr>
                <w:rFonts w:ascii="Arial" w:hAnsi="Arial" w:cs="Arial"/>
                <w:sz w:val="16"/>
                <w:szCs w:val="16"/>
                <w:lang w:val="en-GB"/>
              </w:rPr>
            </w:pPr>
            <w:r>
              <w:rPr>
                <w:rFonts w:ascii="Arial" w:hAnsi="Arial" w:cs="Arial"/>
                <w:sz w:val="16"/>
                <w:szCs w:val="16"/>
                <w:lang w:val="en-GB"/>
              </w:rPr>
              <w:t>6.2.2</w:t>
            </w:r>
          </w:p>
        </w:tc>
        <w:tc>
          <w:tcPr>
            <w:tcW w:w="1276" w:type="dxa"/>
          </w:tcPr>
          <w:p w14:paraId="215593F5" w14:textId="2BDC3E9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10 Page 39</w:t>
            </w:r>
          </w:p>
        </w:tc>
        <w:tc>
          <w:tcPr>
            <w:tcW w:w="2268" w:type="dxa"/>
          </w:tcPr>
          <w:p w14:paraId="6B19EED9" w14:textId="040ADEAC" w:rsidR="00581CAE" w:rsidRDefault="00581CAE" w:rsidP="00581CAE">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5CECFAA9" w14:textId="01A9FC64" w:rsidR="00581CAE" w:rsidRPr="005575A9" w:rsidRDefault="00581CAE" w:rsidP="00581CAE">
            <w:pPr>
              <w:keepLines/>
              <w:spacing w:before="120"/>
              <w:rPr>
                <w:rFonts w:ascii="Arial" w:hAnsi="Arial" w:cs="Arial"/>
                <w:sz w:val="16"/>
                <w:szCs w:val="16"/>
                <w:lang w:val="en-GB"/>
              </w:rPr>
            </w:pPr>
            <w:r>
              <w:rPr>
                <w:rFonts w:ascii="Arial" w:hAnsi="Arial" w:cs="Arial"/>
                <w:sz w:val="16"/>
                <w:szCs w:val="16"/>
                <w:lang w:val="en-GB"/>
              </w:rPr>
              <w:t>T</w:t>
            </w:r>
            <w:r w:rsidRPr="00815326">
              <w:rPr>
                <w:rFonts w:ascii="Arial" w:hAnsi="Arial" w:cs="Arial"/>
                <w:sz w:val="16"/>
                <w:szCs w:val="16"/>
                <w:lang w:val="en-GB"/>
              </w:rPr>
              <w:t xml:space="preserve">ext proposal </w:t>
            </w:r>
            <w:r>
              <w:rPr>
                <w:rFonts w:ascii="Arial" w:hAnsi="Arial" w:cs="Arial"/>
                <w:sz w:val="16"/>
                <w:szCs w:val="16"/>
                <w:lang w:val="en-GB"/>
              </w:rPr>
              <w:t xml:space="preserve">to better clarify </w:t>
            </w:r>
            <w:r w:rsidRPr="00815326">
              <w:rPr>
                <w:rFonts w:ascii="Arial" w:hAnsi="Arial" w:cs="Arial"/>
                <w:sz w:val="16"/>
                <w:szCs w:val="16"/>
                <w:lang w:val="en-GB"/>
              </w:rPr>
              <w:t xml:space="preserve">that mitigation techniques could be used </w:t>
            </w:r>
            <w:r>
              <w:rPr>
                <w:rFonts w:ascii="Arial" w:hAnsi="Arial" w:cs="Arial"/>
                <w:sz w:val="16"/>
                <w:szCs w:val="16"/>
                <w:lang w:val="en-GB"/>
              </w:rPr>
              <w:t>when needed and on a case by case basis during coordination.</w:t>
            </w:r>
          </w:p>
        </w:tc>
        <w:tc>
          <w:tcPr>
            <w:tcW w:w="4678" w:type="dxa"/>
          </w:tcPr>
          <w:p w14:paraId="0A58FABE" w14:textId="5F4FFB2F" w:rsidR="00581CAE" w:rsidRPr="00B06AF7" w:rsidRDefault="00581CAE" w:rsidP="00581CAE">
            <w:proofErr w:type="spellStart"/>
            <w:r w:rsidRPr="00B06AF7">
              <w:t>taking</w:t>
            </w:r>
            <w:proofErr w:type="spellEnd"/>
            <w:r w:rsidRPr="00B06AF7">
              <w:t xml:space="preserve"> </w:t>
            </w:r>
            <w:proofErr w:type="spellStart"/>
            <w:r w:rsidRPr="00B06AF7">
              <w:t>into</w:t>
            </w:r>
            <w:proofErr w:type="spellEnd"/>
            <w:r w:rsidRPr="00B06AF7">
              <w:t xml:space="preserve"> </w:t>
            </w:r>
            <w:proofErr w:type="spellStart"/>
            <w:r w:rsidRPr="00B06AF7">
              <w:t>account</w:t>
            </w:r>
            <w:proofErr w:type="spellEnd"/>
            <w:r w:rsidRPr="00B06AF7">
              <w:t xml:space="preserve"> the use of </w:t>
            </w:r>
            <w:proofErr w:type="spellStart"/>
            <w:r w:rsidRPr="00B06AF7">
              <w:t>appropriate</w:t>
            </w:r>
            <w:proofErr w:type="spellEnd"/>
            <w:r w:rsidRPr="00B06AF7">
              <w:t xml:space="preserve"> mitigation techniques </w:t>
            </w:r>
            <w:proofErr w:type="spellStart"/>
            <w:r w:rsidRPr="00B06AF7">
              <w:t>that</w:t>
            </w:r>
            <w:proofErr w:type="spellEnd"/>
            <w:r w:rsidRPr="00B06AF7">
              <w:t xml:space="preserve"> </w:t>
            </w:r>
            <w:proofErr w:type="spellStart"/>
            <w:r w:rsidRPr="00B06AF7">
              <w:t>could</w:t>
            </w:r>
            <w:proofErr w:type="spellEnd"/>
            <w:r w:rsidRPr="00B06AF7">
              <w:t xml:space="preserve"> </w:t>
            </w:r>
            <w:proofErr w:type="spellStart"/>
            <w:r w:rsidRPr="00B06AF7">
              <w:t>facilitate</w:t>
            </w:r>
            <w:proofErr w:type="spellEnd"/>
            <w:r w:rsidRPr="00B06AF7">
              <w:t xml:space="preserve"> coexistence</w:t>
            </w:r>
            <w:ins w:id="20" w:author="Italy" w:date="2024-04-18T11:47:00Z">
              <w:r>
                <w:t xml:space="preserve"> on a case by case basis</w:t>
              </w:r>
            </w:ins>
            <w:r>
              <w:t>.</w:t>
            </w:r>
          </w:p>
        </w:tc>
      </w:tr>
      <w:tr w:rsidR="006B471E" w:rsidRPr="00151940" w14:paraId="0EAE5350" w14:textId="77777777" w:rsidTr="006B3C4D">
        <w:trPr>
          <w:cantSplit/>
          <w:trHeight w:val="1214"/>
        </w:trPr>
        <w:tc>
          <w:tcPr>
            <w:tcW w:w="1044" w:type="dxa"/>
          </w:tcPr>
          <w:p w14:paraId="69B4591A" w14:textId="23707D4A" w:rsidR="006B471E" w:rsidRPr="00581CAE" w:rsidRDefault="00436FFB" w:rsidP="006B3C4D">
            <w:pPr>
              <w:keepLines/>
              <w:spacing w:before="120"/>
              <w:rPr>
                <w:rFonts w:ascii="Arial" w:hAnsi="Arial" w:cs="Arial"/>
                <w:sz w:val="16"/>
                <w:szCs w:val="16"/>
                <w:lang w:val="en-GB"/>
              </w:rPr>
            </w:pPr>
            <w:r>
              <w:rPr>
                <w:rFonts w:ascii="Arial" w:hAnsi="Arial" w:cs="Arial"/>
                <w:sz w:val="16"/>
                <w:szCs w:val="16"/>
                <w:lang w:val="en-GB"/>
              </w:rPr>
              <w:t>I/9</w:t>
            </w:r>
          </w:p>
          <w:p w14:paraId="7A87E726" w14:textId="77777777" w:rsidR="006B471E" w:rsidRPr="00151940" w:rsidRDefault="006B471E" w:rsidP="006B3C4D">
            <w:pPr>
              <w:keepLines/>
              <w:spacing w:before="120"/>
              <w:rPr>
                <w:rFonts w:ascii="Arial" w:hAnsi="Arial" w:cs="Arial"/>
                <w:sz w:val="16"/>
                <w:szCs w:val="16"/>
                <w:lang w:val="en-GB"/>
              </w:rPr>
            </w:pPr>
          </w:p>
        </w:tc>
        <w:tc>
          <w:tcPr>
            <w:tcW w:w="1224" w:type="dxa"/>
          </w:tcPr>
          <w:p w14:paraId="4ABBA4F3" w14:textId="4C2E0CE2" w:rsidR="006B471E" w:rsidRPr="006B471E" w:rsidRDefault="006B471E" w:rsidP="006B3C4D">
            <w:pPr>
              <w:keepLines/>
              <w:spacing w:before="120"/>
              <w:rPr>
                <w:rFonts w:ascii="Arial" w:hAnsi="Arial" w:cs="Arial"/>
                <w:sz w:val="16"/>
                <w:szCs w:val="16"/>
                <w:lang w:val="en-GB"/>
              </w:rPr>
            </w:pPr>
            <w:r w:rsidRPr="006B471E">
              <w:rPr>
                <w:rFonts w:ascii="Arial" w:hAnsi="Arial" w:cs="Arial"/>
                <w:sz w:val="16"/>
                <w:szCs w:val="16"/>
                <w:lang w:val="en-GB"/>
              </w:rPr>
              <w:t>6.2.4</w:t>
            </w:r>
          </w:p>
        </w:tc>
        <w:tc>
          <w:tcPr>
            <w:tcW w:w="1276" w:type="dxa"/>
          </w:tcPr>
          <w:p w14:paraId="1BB3D9C4" w14:textId="2922242A" w:rsidR="006B471E" w:rsidRPr="00151940" w:rsidRDefault="006B471E" w:rsidP="006B3C4D">
            <w:pPr>
              <w:keepLines/>
              <w:spacing w:before="120"/>
              <w:rPr>
                <w:rFonts w:ascii="Arial" w:hAnsi="Arial" w:cs="Arial"/>
                <w:sz w:val="16"/>
                <w:szCs w:val="16"/>
                <w:lang w:val="en-GB"/>
              </w:rPr>
            </w:pPr>
            <w:r>
              <w:rPr>
                <w:rFonts w:ascii="Arial" w:hAnsi="Arial" w:cs="Arial"/>
                <w:sz w:val="16"/>
                <w:szCs w:val="16"/>
                <w:lang w:val="en-GB"/>
              </w:rPr>
              <w:t>Paragraph 1 Page 41</w:t>
            </w:r>
          </w:p>
        </w:tc>
        <w:tc>
          <w:tcPr>
            <w:tcW w:w="2268" w:type="dxa"/>
          </w:tcPr>
          <w:p w14:paraId="5DB605B9" w14:textId="1DD23A4C" w:rsidR="006B471E" w:rsidRPr="00151940" w:rsidRDefault="006B471E" w:rsidP="006B3C4D">
            <w:pPr>
              <w:keepLines/>
              <w:spacing w:before="120"/>
              <w:rPr>
                <w:rFonts w:ascii="Arial" w:hAnsi="Arial" w:cs="Arial"/>
                <w:sz w:val="16"/>
                <w:szCs w:val="16"/>
                <w:lang w:val="en-GB"/>
              </w:rPr>
            </w:pPr>
            <w:r>
              <w:rPr>
                <w:rFonts w:ascii="Arial" w:hAnsi="Arial" w:cs="Arial"/>
                <w:b/>
                <w:sz w:val="16"/>
                <w:szCs w:val="16"/>
                <w:lang w:val="en-GB"/>
              </w:rPr>
              <w:t>Editorial</w:t>
            </w:r>
          </w:p>
        </w:tc>
        <w:tc>
          <w:tcPr>
            <w:tcW w:w="3402" w:type="dxa"/>
          </w:tcPr>
          <w:p w14:paraId="2B067C06" w14:textId="77777777" w:rsidR="006B471E" w:rsidRPr="00151940" w:rsidRDefault="006B471E" w:rsidP="006B3C4D">
            <w:pPr>
              <w:keepLines/>
              <w:spacing w:before="120"/>
              <w:rPr>
                <w:rFonts w:ascii="Arial" w:hAnsi="Arial" w:cs="Arial"/>
                <w:sz w:val="16"/>
                <w:szCs w:val="16"/>
                <w:lang w:val="en-GB"/>
              </w:rPr>
            </w:pPr>
            <w:r>
              <w:rPr>
                <w:rFonts w:ascii="Arial" w:hAnsi="Arial" w:cs="Arial"/>
                <w:sz w:val="16"/>
                <w:szCs w:val="16"/>
                <w:lang w:val="en-GB"/>
              </w:rPr>
              <w:t>The real</w:t>
            </w:r>
            <w:r w:rsidRPr="00C270A1">
              <w:rPr>
                <w:rFonts w:ascii="Arial" w:hAnsi="Arial" w:cs="Arial"/>
                <w:sz w:val="16"/>
                <w:szCs w:val="16"/>
                <w:lang w:val="en-GB"/>
              </w:rPr>
              <w:t xml:space="preserve"> terrain </w:t>
            </w:r>
            <w:r>
              <w:rPr>
                <w:rFonts w:ascii="Arial" w:hAnsi="Arial" w:cs="Arial"/>
                <w:sz w:val="16"/>
                <w:szCs w:val="16"/>
                <w:lang w:val="en-GB"/>
              </w:rPr>
              <w:t xml:space="preserve">hinders or </w:t>
            </w:r>
            <w:r w:rsidRPr="00C270A1">
              <w:rPr>
                <w:rFonts w:ascii="Arial" w:hAnsi="Arial" w:cs="Arial"/>
                <w:sz w:val="16"/>
                <w:szCs w:val="16"/>
                <w:lang w:val="en-GB"/>
              </w:rPr>
              <w:t xml:space="preserve">favours </w:t>
            </w:r>
            <w:r>
              <w:rPr>
                <w:rFonts w:ascii="Arial" w:hAnsi="Arial" w:cs="Arial"/>
                <w:sz w:val="16"/>
                <w:szCs w:val="16"/>
                <w:lang w:val="en-GB"/>
              </w:rPr>
              <w:t xml:space="preserve">protection, not </w:t>
            </w:r>
            <w:r w:rsidRPr="00C270A1">
              <w:rPr>
                <w:rFonts w:ascii="Arial" w:hAnsi="Arial" w:cs="Arial"/>
                <w:sz w:val="16"/>
                <w:szCs w:val="16"/>
                <w:lang w:val="en-GB"/>
              </w:rPr>
              <w:t>data</w:t>
            </w:r>
          </w:p>
        </w:tc>
        <w:tc>
          <w:tcPr>
            <w:tcW w:w="4678" w:type="dxa"/>
          </w:tcPr>
          <w:p w14:paraId="32D0C8A6" w14:textId="77777777" w:rsidR="006B471E" w:rsidRPr="00151940" w:rsidRDefault="006B471E" w:rsidP="006B3C4D">
            <w:pPr>
              <w:spacing w:before="120"/>
              <w:rPr>
                <w:rFonts w:ascii="Arial" w:hAnsi="Arial" w:cs="Arial"/>
                <w:sz w:val="16"/>
                <w:szCs w:val="16"/>
                <w:lang w:val="en-GB"/>
              </w:rPr>
            </w:pPr>
            <w:proofErr w:type="spellStart"/>
            <w:r w:rsidRPr="00B06AF7">
              <w:t>because</w:t>
            </w:r>
            <w:proofErr w:type="spellEnd"/>
            <w:r w:rsidRPr="00B06AF7">
              <w:t xml:space="preserve"> real terrain </w:t>
            </w:r>
            <w:del w:id="21" w:author="Italy" w:date="2024-04-19T13:16:00Z">
              <w:r w:rsidRPr="00B06AF7" w:rsidDel="00C270A1">
                <w:delText xml:space="preserve">data </w:delText>
              </w:r>
            </w:del>
            <w:proofErr w:type="spellStart"/>
            <w:r w:rsidRPr="00B06AF7">
              <w:t>can</w:t>
            </w:r>
            <w:proofErr w:type="spellEnd"/>
            <w:r w:rsidRPr="00B06AF7">
              <w:t xml:space="preserve"> not </w:t>
            </w:r>
            <w:proofErr w:type="spellStart"/>
            <w:r w:rsidRPr="00B06AF7">
              <w:t>only</w:t>
            </w:r>
            <w:proofErr w:type="spellEnd"/>
            <w:r w:rsidRPr="00B06AF7">
              <w:t xml:space="preserve"> </w:t>
            </w:r>
            <w:proofErr w:type="spellStart"/>
            <w:r w:rsidRPr="00B06AF7">
              <w:t>hinder</w:t>
            </w:r>
            <w:proofErr w:type="spellEnd"/>
            <w:r w:rsidRPr="00B06AF7">
              <w:t xml:space="preserve">, but </w:t>
            </w:r>
            <w:proofErr w:type="spellStart"/>
            <w:r w:rsidRPr="00B06AF7">
              <w:t>also</w:t>
            </w:r>
            <w:proofErr w:type="spellEnd"/>
            <w:r w:rsidRPr="00B06AF7">
              <w:t xml:space="preserve"> </w:t>
            </w:r>
            <w:proofErr w:type="spellStart"/>
            <w:r w:rsidRPr="00B06AF7">
              <w:t>favour</w:t>
            </w:r>
            <w:proofErr w:type="spellEnd"/>
            <w:r w:rsidRPr="00B06AF7">
              <w:t xml:space="preserve"> propagation</w:t>
            </w:r>
            <w:r w:rsidRPr="00151940">
              <w:rPr>
                <w:rFonts w:ascii="Arial" w:hAnsi="Arial" w:cs="Arial"/>
                <w:sz w:val="16"/>
                <w:szCs w:val="16"/>
                <w:lang w:val="en-GB"/>
              </w:rPr>
              <w:t xml:space="preserve"> </w:t>
            </w:r>
          </w:p>
        </w:tc>
      </w:tr>
      <w:tr w:rsidR="00581CAE" w:rsidRPr="0027550D" w14:paraId="6A9D4920" w14:textId="77777777" w:rsidTr="00326734">
        <w:trPr>
          <w:cantSplit/>
          <w:trHeight w:val="1214"/>
        </w:trPr>
        <w:tc>
          <w:tcPr>
            <w:tcW w:w="1044" w:type="dxa"/>
          </w:tcPr>
          <w:p w14:paraId="0CB0D6C7" w14:textId="10055144" w:rsidR="00581CAE" w:rsidRDefault="00581CAE" w:rsidP="00581CAE">
            <w:pPr>
              <w:keepLines/>
              <w:spacing w:before="120"/>
              <w:rPr>
                <w:rFonts w:ascii="Arial" w:hAnsi="Arial" w:cs="Arial"/>
                <w:sz w:val="16"/>
                <w:szCs w:val="16"/>
                <w:lang w:val="en-GB"/>
              </w:rPr>
            </w:pPr>
            <w:r>
              <w:rPr>
                <w:rFonts w:ascii="Arial" w:hAnsi="Arial" w:cs="Arial"/>
                <w:sz w:val="16"/>
                <w:szCs w:val="16"/>
                <w:lang w:val="en-GB"/>
              </w:rPr>
              <w:t>I/</w:t>
            </w:r>
            <w:r w:rsidR="00436FFB">
              <w:rPr>
                <w:rFonts w:ascii="Arial" w:hAnsi="Arial" w:cs="Arial"/>
                <w:sz w:val="16"/>
                <w:szCs w:val="16"/>
                <w:lang w:val="en-GB"/>
              </w:rPr>
              <w:t>10</w:t>
            </w:r>
          </w:p>
        </w:tc>
        <w:tc>
          <w:tcPr>
            <w:tcW w:w="1224" w:type="dxa"/>
          </w:tcPr>
          <w:p w14:paraId="772C5A78" w14:textId="3FE2EBF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6.2.4</w:t>
            </w:r>
          </w:p>
        </w:tc>
        <w:tc>
          <w:tcPr>
            <w:tcW w:w="1276" w:type="dxa"/>
          </w:tcPr>
          <w:p w14:paraId="7B97A70D" w14:textId="6667595A"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3 Page 41</w:t>
            </w:r>
          </w:p>
        </w:tc>
        <w:tc>
          <w:tcPr>
            <w:tcW w:w="2268" w:type="dxa"/>
          </w:tcPr>
          <w:p w14:paraId="03F08880" w14:textId="77FCF0AE" w:rsidR="00581CAE" w:rsidRDefault="00581CAE" w:rsidP="00581CAE">
            <w:pPr>
              <w:keepLines/>
              <w:spacing w:before="120"/>
              <w:rPr>
                <w:rFonts w:ascii="Arial" w:hAnsi="Arial" w:cs="Arial"/>
                <w:sz w:val="16"/>
                <w:szCs w:val="16"/>
                <w:lang w:val="en-GB"/>
              </w:rPr>
            </w:pPr>
            <w:r>
              <w:rPr>
                <w:rFonts w:ascii="Arial" w:hAnsi="Arial" w:cs="Arial"/>
                <w:sz w:val="16"/>
                <w:szCs w:val="16"/>
                <w:lang w:val="en-GB"/>
              </w:rPr>
              <w:t xml:space="preserve">General </w:t>
            </w:r>
          </w:p>
        </w:tc>
        <w:tc>
          <w:tcPr>
            <w:tcW w:w="3402" w:type="dxa"/>
          </w:tcPr>
          <w:p w14:paraId="3DB143D5" w14:textId="45486984" w:rsidR="00581CAE" w:rsidRPr="00A90B66" w:rsidRDefault="00581CAE" w:rsidP="00581CAE">
            <w:pPr>
              <w:keepLines/>
              <w:spacing w:before="120"/>
              <w:rPr>
                <w:rFonts w:ascii="Arial" w:hAnsi="Arial" w:cs="Arial"/>
                <w:sz w:val="16"/>
                <w:szCs w:val="16"/>
                <w:lang w:val="en-GB"/>
              </w:rPr>
            </w:pPr>
            <w:r>
              <w:rPr>
                <w:rFonts w:ascii="Arial" w:hAnsi="Arial" w:cs="Arial"/>
                <w:sz w:val="16"/>
                <w:szCs w:val="16"/>
                <w:lang w:val="en-GB"/>
              </w:rPr>
              <w:t>See comment I/1</w:t>
            </w:r>
          </w:p>
        </w:tc>
        <w:tc>
          <w:tcPr>
            <w:tcW w:w="4678" w:type="dxa"/>
          </w:tcPr>
          <w:p w14:paraId="020E771E" w14:textId="77777777" w:rsidR="00581CAE" w:rsidRPr="0063663B" w:rsidRDefault="00581CAE" w:rsidP="00581CAE">
            <w:pPr>
              <w:rPr>
                <w:lang w:val="en-US"/>
              </w:rPr>
            </w:pPr>
            <w:r w:rsidRPr="0063663B">
              <w:rPr>
                <w:lang w:val="en-US"/>
              </w:rPr>
              <w:t xml:space="preserve">Nevertheless, appropriate mitigation techniques </w:t>
            </w:r>
            <w:ins w:id="22" w:author="Italy" w:date="2024-04-18T11:51:00Z">
              <w:r w:rsidRPr="007323DC">
                <w:rPr>
                  <w:lang w:val="en-US"/>
                </w:rPr>
                <w:t xml:space="preserve">could be considered during coordination on a case by case basis to </w:t>
              </w:r>
            </w:ins>
            <w:del w:id="23" w:author="Italy" w:date="2024-04-18T11:51:00Z">
              <w:r w:rsidRPr="0063663B" w:rsidDel="007323DC">
                <w:rPr>
                  <w:lang w:val="en-US"/>
                </w:rPr>
                <w:delText xml:space="preserve">can </w:delText>
              </w:r>
            </w:del>
            <w:r w:rsidRPr="0063663B">
              <w:rPr>
                <w:lang w:val="en-US"/>
              </w:rPr>
              <w:t xml:space="preserve">could be considered during coordination on a case by case basis to facilitate coexistence between WBB and FS systems, both at national level and with the </w:t>
            </w:r>
            <w:proofErr w:type="spellStart"/>
            <w:r w:rsidRPr="0063663B">
              <w:rPr>
                <w:lang w:val="en-US"/>
              </w:rPr>
              <w:t>neighbouring</w:t>
            </w:r>
            <w:proofErr w:type="spellEnd"/>
            <w:r w:rsidRPr="0063663B">
              <w:rPr>
                <w:lang w:val="en-US"/>
              </w:rPr>
              <w:t xml:space="preserve"> countries.</w:t>
            </w:r>
          </w:p>
          <w:p w14:paraId="54841819" w14:textId="0604D28F" w:rsidR="00581CAE" w:rsidRDefault="00581CAE" w:rsidP="00581CAE">
            <w:pPr>
              <w:rPr>
                <w:rFonts w:ascii="Arial" w:hAnsi="Arial" w:cs="Arial"/>
                <w:sz w:val="16"/>
                <w:szCs w:val="16"/>
                <w:lang w:val="en-GB"/>
              </w:rPr>
            </w:pPr>
          </w:p>
        </w:tc>
      </w:tr>
      <w:tr w:rsidR="00581CAE" w:rsidRPr="0027550D" w14:paraId="743A5CF0" w14:textId="77777777" w:rsidTr="00326734">
        <w:trPr>
          <w:cantSplit/>
          <w:trHeight w:val="1214"/>
        </w:trPr>
        <w:tc>
          <w:tcPr>
            <w:tcW w:w="1044" w:type="dxa"/>
          </w:tcPr>
          <w:p w14:paraId="322B4817" w14:textId="3B7100A7"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I/</w:t>
            </w:r>
            <w:r w:rsidR="00436FFB">
              <w:rPr>
                <w:rFonts w:ascii="Arial" w:hAnsi="Arial" w:cs="Arial"/>
                <w:sz w:val="16"/>
                <w:szCs w:val="16"/>
                <w:lang w:val="en-GB"/>
              </w:rPr>
              <w:t>11</w:t>
            </w:r>
          </w:p>
        </w:tc>
        <w:tc>
          <w:tcPr>
            <w:tcW w:w="1224" w:type="dxa"/>
          </w:tcPr>
          <w:p w14:paraId="41796476" w14:textId="04E8938D"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6.3.8</w:t>
            </w:r>
          </w:p>
        </w:tc>
        <w:tc>
          <w:tcPr>
            <w:tcW w:w="1276" w:type="dxa"/>
          </w:tcPr>
          <w:p w14:paraId="374E5C3C" w14:textId="7777777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4</w:t>
            </w:r>
          </w:p>
          <w:p w14:paraId="690FCEFE" w14:textId="543546A2"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Page 49</w:t>
            </w:r>
          </w:p>
        </w:tc>
        <w:tc>
          <w:tcPr>
            <w:tcW w:w="2268" w:type="dxa"/>
          </w:tcPr>
          <w:p w14:paraId="1E84D518" w14:textId="27338A7C"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68EFC5FE" w14:textId="6508C288"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See comment I/1</w:t>
            </w:r>
          </w:p>
        </w:tc>
        <w:tc>
          <w:tcPr>
            <w:tcW w:w="4678" w:type="dxa"/>
          </w:tcPr>
          <w:p w14:paraId="1C1BBB3E" w14:textId="77777777" w:rsidR="00581CAE" w:rsidRPr="00D71CB9" w:rsidRDefault="00581CAE" w:rsidP="00581CAE">
            <w:pPr>
              <w:rPr>
                <w:lang w:val="en-US"/>
              </w:rPr>
            </w:pPr>
            <w:r w:rsidRPr="00D71CB9">
              <w:rPr>
                <w:lang w:val="en-US"/>
              </w:rPr>
              <w:t xml:space="preserve">Appropriate mitigation techniques </w:t>
            </w:r>
            <w:ins w:id="24" w:author="Italy" w:date="2024-04-18T11:52:00Z">
              <w:r w:rsidRPr="0063663B">
                <w:rPr>
                  <w:lang w:val="en-US"/>
                </w:rPr>
                <w:t>could be considered during coordination on a case by case basis to</w:t>
              </w:r>
            </w:ins>
            <w:del w:id="25" w:author="Italy" w:date="2024-04-18T11:52:00Z">
              <w:r w:rsidRPr="00D71CB9" w:rsidDel="007323DC">
                <w:rPr>
                  <w:lang w:val="en-US"/>
                </w:rPr>
                <w:delText>can</w:delText>
              </w:r>
            </w:del>
            <w:r w:rsidRPr="00D71CB9">
              <w:rPr>
                <w:lang w:val="en-US"/>
              </w:rPr>
              <w:t xml:space="preserve"> facilitate coexistence between WBB and FSS systems, both at national level and with the </w:t>
            </w:r>
            <w:proofErr w:type="spellStart"/>
            <w:r w:rsidRPr="00D71CB9">
              <w:rPr>
                <w:lang w:val="en-US"/>
              </w:rPr>
              <w:t>neighbouring</w:t>
            </w:r>
            <w:proofErr w:type="spellEnd"/>
            <w:r w:rsidRPr="00D71CB9">
              <w:rPr>
                <w:lang w:val="en-US"/>
              </w:rPr>
              <w:t xml:space="preserve"> countries.</w:t>
            </w:r>
          </w:p>
          <w:p w14:paraId="518B9E07" w14:textId="77777777" w:rsidR="00581CAE" w:rsidRPr="0063663B" w:rsidRDefault="00581CAE" w:rsidP="00581CAE">
            <w:pPr>
              <w:spacing w:before="120"/>
              <w:rPr>
                <w:rFonts w:ascii="Arial" w:hAnsi="Arial" w:cs="Arial"/>
                <w:sz w:val="16"/>
                <w:szCs w:val="16"/>
                <w:lang w:val="en-US"/>
              </w:rPr>
            </w:pPr>
          </w:p>
        </w:tc>
      </w:tr>
      <w:tr w:rsidR="00581CAE" w:rsidRPr="0027550D" w14:paraId="2C653E19" w14:textId="77777777" w:rsidTr="00326734">
        <w:trPr>
          <w:cantSplit/>
          <w:trHeight w:val="1214"/>
        </w:trPr>
        <w:tc>
          <w:tcPr>
            <w:tcW w:w="1044" w:type="dxa"/>
          </w:tcPr>
          <w:p w14:paraId="1FD052CC" w14:textId="2FA7BCB8"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I/1</w:t>
            </w:r>
            <w:r w:rsidR="00436FFB">
              <w:rPr>
                <w:rFonts w:ascii="Arial" w:hAnsi="Arial" w:cs="Arial"/>
                <w:sz w:val="16"/>
                <w:szCs w:val="16"/>
                <w:lang w:val="en-GB"/>
              </w:rPr>
              <w:t>2</w:t>
            </w:r>
          </w:p>
        </w:tc>
        <w:tc>
          <w:tcPr>
            <w:tcW w:w="1224" w:type="dxa"/>
          </w:tcPr>
          <w:p w14:paraId="160531E8" w14:textId="7A85CD85"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7.1.4</w:t>
            </w:r>
          </w:p>
        </w:tc>
        <w:tc>
          <w:tcPr>
            <w:tcW w:w="1276" w:type="dxa"/>
          </w:tcPr>
          <w:p w14:paraId="454E4808" w14:textId="7777777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2</w:t>
            </w:r>
          </w:p>
          <w:p w14:paraId="605843EE" w14:textId="672E3DBC"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Page 58</w:t>
            </w:r>
          </w:p>
        </w:tc>
        <w:tc>
          <w:tcPr>
            <w:tcW w:w="2268" w:type="dxa"/>
          </w:tcPr>
          <w:p w14:paraId="3532F992" w14:textId="3C8F9CB8"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6F0E0BC7" w14:textId="7777777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See comment I/2</w:t>
            </w:r>
          </w:p>
          <w:p w14:paraId="7F9D3665" w14:textId="08E6D47F"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Proposal to replace “toolbox” with “guidelines” or “recommendations”</w:t>
            </w:r>
          </w:p>
        </w:tc>
        <w:tc>
          <w:tcPr>
            <w:tcW w:w="4678" w:type="dxa"/>
          </w:tcPr>
          <w:p w14:paraId="1A72C1B7" w14:textId="77777777" w:rsidR="00581CAE" w:rsidRPr="00AB72E8" w:rsidRDefault="00581CAE" w:rsidP="00581CAE">
            <w:pPr>
              <w:rPr>
                <w:lang w:val="en-US"/>
              </w:rPr>
            </w:pPr>
            <w:r w:rsidRPr="00AB72E8">
              <w:rPr>
                <w:lang w:val="en-US"/>
              </w:rPr>
              <w:t>The particular semi-</w:t>
            </w:r>
            <w:proofErr w:type="spellStart"/>
            <w:r w:rsidRPr="00AB72E8">
              <w:rPr>
                <w:lang w:val="en-US"/>
              </w:rPr>
              <w:t>synchronisation</w:t>
            </w:r>
            <w:proofErr w:type="spellEnd"/>
            <w:r w:rsidRPr="00AB72E8">
              <w:rPr>
                <w:lang w:val="en-US"/>
              </w:rPr>
              <w:t xml:space="preserve"> could be further investigated as part of relevant </w:t>
            </w:r>
            <w:ins w:id="26" w:author="Italy" w:date="2024-04-18T11:52:00Z">
              <w:r w:rsidRPr="007323DC">
                <w:rPr>
                  <w:lang w:val="en-US"/>
                </w:rPr>
                <w:t xml:space="preserve">guidelines </w:t>
              </w:r>
            </w:ins>
            <w:del w:id="27" w:author="Italy" w:date="2024-04-18T11:52:00Z">
              <w:r w:rsidRPr="00AB72E8" w:rsidDel="007323DC">
                <w:rPr>
                  <w:lang w:val="en-US"/>
                </w:rPr>
                <w:delText xml:space="preserve">toolbox </w:delText>
              </w:r>
            </w:del>
            <w:r w:rsidRPr="00AB72E8">
              <w:rPr>
                <w:lang w:val="en-US"/>
              </w:rPr>
              <w:t>in order to implement this approach on case-by-case basis in order to ensure more efficient usage of the spectrum as appropriate.</w:t>
            </w:r>
          </w:p>
          <w:p w14:paraId="4D3CB129" w14:textId="77777777" w:rsidR="00581CAE" w:rsidRPr="00151940" w:rsidRDefault="00581CAE" w:rsidP="00581CAE">
            <w:pPr>
              <w:spacing w:before="120"/>
              <w:rPr>
                <w:rFonts w:ascii="Arial" w:hAnsi="Arial" w:cs="Arial"/>
                <w:sz w:val="16"/>
                <w:szCs w:val="16"/>
                <w:lang w:val="en-GB"/>
              </w:rPr>
            </w:pPr>
          </w:p>
        </w:tc>
      </w:tr>
      <w:tr w:rsidR="00581CAE" w:rsidRPr="0027550D" w14:paraId="67519207" w14:textId="77777777" w:rsidTr="00326734">
        <w:trPr>
          <w:cantSplit/>
          <w:trHeight w:val="1214"/>
        </w:trPr>
        <w:tc>
          <w:tcPr>
            <w:tcW w:w="1044" w:type="dxa"/>
          </w:tcPr>
          <w:p w14:paraId="584F70A3" w14:textId="333AE31F"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I/1</w:t>
            </w:r>
            <w:r w:rsidR="00436FFB">
              <w:rPr>
                <w:rFonts w:ascii="Arial" w:hAnsi="Arial" w:cs="Arial"/>
                <w:sz w:val="16"/>
                <w:szCs w:val="16"/>
                <w:lang w:val="en-GB"/>
              </w:rPr>
              <w:t>3</w:t>
            </w:r>
          </w:p>
        </w:tc>
        <w:tc>
          <w:tcPr>
            <w:tcW w:w="1224" w:type="dxa"/>
          </w:tcPr>
          <w:p w14:paraId="7AA0F7CD" w14:textId="16D27735"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7.1.8</w:t>
            </w:r>
          </w:p>
        </w:tc>
        <w:tc>
          <w:tcPr>
            <w:tcW w:w="1276" w:type="dxa"/>
          </w:tcPr>
          <w:p w14:paraId="1B8D52E8" w14:textId="7777777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Paragraph 4</w:t>
            </w:r>
          </w:p>
          <w:p w14:paraId="0C4F6478" w14:textId="17B24222"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Page 63</w:t>
            </w:r>
          </w:p>
        </w:tc>
        <w:tc>
          <w:tcPr>
            <w:tcW w:w="2268" w:type="dxa"/>
          </w:tcPr>
          <w:p w14:paraId="5CCDFFC5" w14:textId="0C7479A7"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1BB540EE" w14:textId="77777777" w:rsidR="00581CAE" w:rsidRDefault="00581CAE" w:rsidP="00581CAE">
            <w:pPr>
              <w:keepLines/>
              <w:spacing w:before="120"/>
              <w:rPr>
                <w:rFonts w:ascii="Arial" w:hAnsi="Arial" w:cs="Arial"/>
                <w:sz w:val="16"/>
                <w:szCs w:val="16"/>
                <w:lang w:val="en-GB"/>
              </w:rPr>
            </w:pPr>
            <w:r>
              <w:rPr>
                <w:rFonts w:ascii="Arial" w:hAnsi="Arial" w:cs="Arial"/>
                <w:sz w:val="16"/>
                <w:szCs w:val="16"/>
                <w:lang w:val="en-GB"/>
              </w:rPr>
              <w:t>See comment I/2</w:t>
            </w:r>
          </w:p>
          <w:p w14:paraId="65DA20E6" w14:textId="13889C24" w:rsidR="00581CAE" w:rsidRPr="00151940" w:rsidRDefault="00581CAE" w:rsidP="00581CAE">
            <w:pPr>
              <w:keepLines/>
              <w:spacing w:before="120"/>
              <w:rPr>
                <w:rFonts w:ascii="Arial" w:hAnsi="Arial" w:cs="Arial"/>
                <w:sz w:val="16"/>
                <w:szCs w:val="16"/>
                <w:lang w:val="en-GB"/>
              </w:rPr>
            </w:pPr>
            <w:r>
              <w:rPr>
                <w:rFonts w:ascii="Arial" w:hAnsi="Arial" w:cs="Arial"/>
                <w:sz w:val="16"/>
                <w:szCs w:val="16"/>
                <w:lang w:val="en-GB"/>
              </w:rPr>
              <w:t>Proposal to replace “toolbox” with “guidelines” or “recommendations”</w:t>
            </w:r>
          </w:p>
        </w:tc>
        <w:tc>
          <w:tcPr>
            <w:tcW w:w="4678" w:type="dxa"/>
          </w:tcPr>
          <w:p w14:paraId="7C2D0CD0" w14:textId="7ADAD4F6" w:rsidR="00581CAE" w:rsidRPr="00AB72E8" w:rsidRDefault="00581CAE" w:rsidP="00581CAE">
            <w:pPr>
              <w:spacing w:before="120"/>
              <w:rPr>
                <w:rFonts w:ascii="Arial" w:hAnsi="Arial" w:cs="Arial"/>
                <w:sz w:val="16"/>
                <w:szCs w:val="16"/>
                <w:lang w:val="en-US"/>
              </w:rPr>
            </w:pPr>
            <w:r w:rsidRPr="000F6733">
              <w:rPr>
                <w:lang w:val="en-US"/>
              </w:rPr>
              <w:t xml:space="preserve">CEPT is developing </w:t>
            </w:r>
            <w:ins w:id="28" w:author="Italy" w:date="2024-04-18T11:53:00Z">
              <w:r w:rsidRPr="000F6733">
                <w:rPr>
                  <w:lang w:val="en-US"/>
                </w:rPr>
                <w:t xml:space="preserve">recommendations </w:t>
              </w:r>
            </w:ins>
            <w:del w:id="29" w:author="Italy" w:date="2024-04-18T11:53:00Z">
              <w:r w:rsidRPr="000F6733" w:rsidDel="007323DC">
                <w:rPr>
                  <w:lang w:val="en-US"/>
                </w:rPr>
                <w:delText xml:space="preserve">a toolbox </w:delText>
              </w:r>
            </w:del>
            <w:r w:rsidRPr="000F6733">
              <w:rPr>
                <w:lang w:val="en-US"/>
              </w:rPr>
              <w:t>for administrations to provide guidance on the approach to coexistence in the band.</w:t>
            </w:r>
          </w:p>
        </w:tc>
      </w:tr>
      <w:tr w:rsidR="00581CAE" w:rsidRPr="0027550D" w14:paraId="6CC8DFB1" w14:textId="77777777" w:rsidTr="00326734">
        <w:trPr>
          <w:cantSplit/>
          <w:trHeight w:val="1214"/>
        </w:trPr>
        <w:tc>
          <w:tcPr>
            <w:tcW w:w="1044" w:type="dxa"/>
          </w:tcPr>
          <w:p w14:paraId="641CAA8D" w14:textId="337DA5AF" w:rsidR="00581CAE" w:rsidRDefault="00581CAE" w:rsidP="00581CAE">
            <w:pPr>
              <w:keepLines/>
              <w:spacing w:before="120"/>
              <w:rPr>
                <w:rFonts w:ascii="Arial" w:hAnsi="Arial" w:cs="Arial"/>
                <w:sz w:val="16"/>
                <w:szCs w:val="16"/>
                <w:lang w:val="en-GB"/>
              </w:rPr>
            </w:pPr>
            <w:r>
              <w:rPr>
                <w:rFonts w:ascii="Arial" w:hAnsi="Arial" w:cs="Arial"/>
                <w:sz w:val="16"/>
                <w:szCs w:val="16"/>
                <w:lang w:val="en-GB"/>
              </w:rPr>
              <w:t>I/1</w:t>
            </w:r>
            <w:r w:rsidR="00436FFB">
              <w:rPr>
                <w:rFonts w:ascii="Arial" w:hAnsi="Arial" w:cs="Arial"/>
                <w:sz w:val="16"/>
                <w:szCs w:val="16"/>
                <w:lang w:val="en-GB"/>
              </w:rPr>
              <w:t>4</w:t>
            </w:r>
          </w:p>
        </w:tc>
        <w:tc>
          <w:tcPr>
            <w:tcW w:w="1224" w:type="dxa"/>
          </w:tcPr>
          <w:p w14:paraId="3AC7BDF6" w14:textId="34A29054" w:rsidR="00581CAE" w:rsidRDefault="00581CAE" w:rsidP="00581CAE">
            <w:pPr>
              <w:keepLines/>
              <w:spacing w:before="120"/>
              <w:rPr>
                <w:rFonts w:ascii="Arial" w:hAnsi="Arial" w:cs="Arial"/>
                <w:sz w:val="16"/>
                <w:szCs w:val="16"/>
                <w:lang w:val="en-GB"/>
              </w:rPr>
            </w:pPr>
            <w:r>
              <w:rPr>
                <w:rFonts w:ascii="Arial" w:hAnsi="Arial" w:cs="Arial"/>
                <w:sz w:val="16"/>
                <w:szCs w:val="16"/>
                <w:lang w:val="en-GB"/>
              </w:rPr>
              <w:t>Annex 4</w:t>
            </w:r>
          </w:p>
        </w:tc>
        <w:tc>
          <w:tcPr>
            <w:tcW w:w="1276" w:type="dxa"/>
          </w:tcPr>
          <w:p w14:paraId="1BCF5EEF" w14:textId="020AD350" w:rsidR="00581CAE" w:rsidRDefault="00581CAE" w:rsidP="00581CAE">
            <w:pPr>
              <w:keepLines/>
              <w:spacing w:before="120"/>
              <w:rPr>
                <w:rFonts w:ascii="Arial" w:hAnsi="Arial" w:cs="Arial"/>
                <w:sz w:val="16"/>
                <w:szCs w:val="16"/>
                <w:lang w:val="en-GB"/>
              </w:rPr>
            </w:pPr>
            <w:r>
              <w:rPr>
                <w:rFonts w:ascii="Arial" w:hAnsi="Arial" w:cs="Arial"/>
                <w:sz w:val="16"/>
                <w:szCs w:val="16"/>
                <w:lang w:val="en-GB"/>
              </w:rPr>
              <w:t>Page 85</w:t>
            </w:r>
          </w:p>
        </w:tc>
        <w:tc>
          <w:tcPr>
            <w:tcW w:w="2268" w:type="dxa"/>
          </w:tcPr>
          <w:p w14:paraId="7D79C51F" w14:textId="2163879D" w:rsidR="00581CAE" w:rsidRDefault="00581CAE" w:rsidP="00581CAE">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438C2F59" w14:textId="43FD3585" w:rsidR="00581CAE" w:rsidRDefault="00581CAE" w:rsidP="00581CAE">
            <w:pPr>
              <w:keepLines/>
              <w:spacing w:before="120"/>
              <w:rPr>
                <w:rFonts w:ascii="Arial" w:hAnsi="Arial" w:cs="Arial"/>
                <w:sz w:val="16"/>
                <w:szCs w:val="16"/>
                <w:lang w:val="en-GB"/>
              </w:rPr>
            </w:pPr>
            <w:r w:rsidRPr="00AD1841">
              <w:rPr>
                <w:rFonts w:ascii="Arial" w:hAnsi="Arial" w:cs="Arial"/>
                <w:sz w:val="16"/>
                <w:szCs w:val="16"/>
                <w:lang w:val="en-GB"/>
              </w:rPr>
              <w:t>Proposal to add references to the Radio Regulations and the ECA Table that are mentioned in section 2</w:t>
            </w:r>
          </w:p>
        </w:tc>
        <w:tc>
          <w:tcPr>
            <w:tcW w:w="4678" w:type="dxa"/>
          </w:tcPr>
          <w:p w14:paraId="2F1FBD47" w14:textId="77777777" w:rsidR="00581CAE" w:rsidRPr="00AD1841" w:rsidRDefault="00581CAE" w:rsidP="00581CAE">
            <w:pPr>
              <w:rPr>
                <w:ins w:id="30" w:author="Italy" w:date="2024-04-18T15:16:00Z"/>
                <w:lang w:val="en-US"/>
              </w:rPr>
            </w:pPr>
            <w:ins w:id="31" w:author="Italy" w:date="2024-04-18T15:16:00Z">
              <w:r w:rsidRPr="00AD1841">
                <w:rPr>
                  <w:lang w:val="en-US"/>
                </w:rPr>
                <w:t>[3]</w:t>
              </w:r>
              <w:r w:rsidRPr="00AD1841">
                <w:rPr>
                  <w:lang w:val="en-US"/>
                </w:rPr>
                <w:tab/>
                <w:t>European Table of Frequency Allocations and Applications (ECA) Table</w:t>
              </w:r>
            </w:ins>
          </w:p>
          <w:p w14:paraId="7401312F" w14:textId="6FAD2402" w:rsidR="00581CAE" w:rsidRPr="000F6733" w:rsidRDefault="00581CAE" w:rsidP="00581CAE">
            <w:pPr>
              <w:rPr>
                <w:lang w:val="en-US"/>
              </w:rPr>
            </w:pPr>
            <w:ins w:id="32" w:author="Italy" w:date="2024-04-18T15:16:00Z">
              <w:r w:rsidRPr="00AD1841">
                <w:rPr>
                  <w:lang w:val="en-US"/>
                </w:rPr>
                <w:t>[4]</w:t>
              </w:r>
              <w:r w:rsidRPr="00AD1841">
                <w:rPr>
                  <w:lang w:val="en-US"/>
                </w:rPr>
                <w:tab/>
                <w:t>ITU Radio Regulations, Edition of 2020</w:t>
              </w:r>
            </w:ins>
          </w:p>
        </w:tc>
      </w:tr>
    </w:tbl>
    <w:p w14:paraId="01D16811" w14:textId="77777777" w:rsidR="00AD21A8" w:rsidRPr="00151940" w:rsidRDefault="00AD21A8" w:rsidP="009309B1">
      <w:pPr>
        <w:rPr>
          <w:rFonts w:ascii="Arial" w:hAnsi="Arial" w:cs="Arial"/>
          <w:b/>
          <w:lang w:val="en-GB"/>
        </w:rPr>
      </w:pPr>
    </w:p>
    <w:sectPr w:rsidR="00AD21A8" w:rsidRPr="00151940" w:rsidSect="001C0B2C">
      <w:pgSz w:w="16838" w:h="11906" w:orient="landscape"/>
      <w:pgMar w:top="993"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Faris">
    <w15:presenceInfo w15:providerId="AD" w15:userId="S::peter.faris@eco.cept.org::cb11d6de-f2f6-44d4-a55b-fbfafdd40002"/>
  </w15:person>
  <w15:person w15:author="Italy">
    <w15:presenceInfo w15:providerId="None" w15:userId="Ita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959"/>
    <w:rsid w:val="000A3D34"/>
    <w:rsid w:val="000B7C07"/>
    <w:rsid w:val="000C288C"/>
    <w:rsid w:val="000F6733"/>
    <w:rsid w:val="00105EEC"/>
    <w:rsid w:val="00151940"/>
    <w:rsid w:val="001523F2"/>
    <w:rsid w:val="0016008A"/>
    <w:rsid w:val="001A3AF5"/>
    <w:rsid w:val="001C0B2C"/>
    <w:rsid w:val="00215963"/>
    <w:rsid w:val="002608DE"/>
    <w:rsid w:val="002716CB"/>
    <w:rsid w:val="0027550D"/>
    <w:rsid w:val="00282AD3"/>
    <w:rsid w:val="00303C6A"/>
    <w:rsid w:val="00326734"/>
    <w:rsid w:val="003D4848"/>
    <w:rsid w:val="003E199E"/>
    <w:rsid w:val="00406AE0"/>
    <w:rsid w:val="00432E3E"/>
    <w:rsid w:val="00436FFB"/>
    <w:rsid w:val="00453510"/>
    <w:rsid w:val="004808D5"/>
    <w:rsid w:val="004D4F09"/>
    <w:rsid w:val="00524444"/>
    <w:rsid w:val="005575A9"/>
    <w:rsid w:val="00560A35"/>
    <w:rsid w:val="00571C9F"/>
    <w:rsid w:val="00581CAE"/>
    <w:rsid w:val="005B0BAA"/>
    <w:rsid w:val="005C4477"/>
    <w:rsid w:val="005C4B77"/>
    <w:rsid w:val="0063663B"/>
    <w:rsid w:val="00671CDB"/>
    <w:rsid w:val="00686F27"/>
    <w:rsid w:val="006B327E"/>
    <w:rsid w:val="006B471E"/>
    <w:rsid w:val="006D5088"/>
    <w:rsid w:val="00700FBF"/>
    <w:rsid w:val="00704914"/>
    <w:rsid w:val="0072030E"/>
    <w:rsid w:val="007323DC"/>
    <w:rsid w:val="00736607"/>
    <w:rsid w:val="0074480B"/>
    <w:rsid w:val="007A313F"/>
    <w:rsid w:val="007D6B88"/>
    <w:rsid w:val="007E0AEE"/>
    <w:rsid w:val="00815326"/>
    <w:rsid w:val="0084178D"/>
    <w:rsid w:val="008E5B53"/>
    <w:rsid w:val="008F23D1"/>
    <w:rsid w:val="009044FE"/>
    <w:rsid w:val="009309B1"/>
    <w:rsid w:val="00937CEB"/>
    <w:rsid w:val="00987049"/>
    <w:rsid w:val="009E77D3"/>
    <w:rsid w:val="00A464CD"/>
    <w:rsid w:val="00A80404"/>
    <w:rsid w:val="00A83438"/>
    <w:rsid w:val="00A90B66"/>
    <w:rsid w:val="00AA2F1C"/>
    <w:rsid w:val="00AA3050"/>
    <w:rsid w:val="00AB4F8E"/>
    <w:rsid w:val="00AB72E8"/>
    <w:rsid w:val="00AD1841"/>
    <w:rsid w:val="00AD21A8"/>
    <w:rsid w:val="00AE5D0C"/>
    <w:rsid w:val="00B1248D"/>
    <w:rsid w:val="00B54A13"/>
    <w:rsid w:val="00BB0959"/>
    <w:rsid w:val="00BC76FD"/>
    <w:rsid w:val="00BE000F"/>
    <w:rsid w:val="00C270A1"/>
    <w:rsid w:val="00C40C9A"/>
    <w:rsid w:val="00C8359C"/>
    <w:rsid w:val="00C96B18"/>
    <w:rsid w:val="00CB12AE"/>
    <w:rsid w:val="00D15FCB"/>
    <w:rsid w:val="00D20F05"/>
    <w:rsid w:val="00D2280E"/>
    <w:rsid w:val="00D71CB9"/>
    <w:rsid w:val="00E42641"/>
    <w:rsid w:val="00EE3BC6"/>
    <w:rsid w:val="00EF5089"/>
    <w:rsid w:val="00F070B5"/>
    <w:rsid w:val="00F56264"/>
    <w:rsid w:val="00F764F6"/>
    <w:rsid w:val="00FA0D64"/>
    <w:rsid w:val="00FD2139"/>
    <w:rsid w:val="00FD268B"/>
    <w:rsid w:val="00FD4270"/>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rsid w:val="005B0BAA"/>
    <w:rPr>
      <w:sz w:val="16"/>
      <w:szCs w:val="16"/>
    </w:rPr>
  </w:style>
  <w:style w:type="paragraph" w:styleId="Testocommento">
    <w:name w:val="annotation text"/>
    <w:basedOn w:val="Normale"/>
    <w:link w:val="TestocommentoCarattere"/>
    <w:rsid w:val="005B0BAA"/>
    <w:rPr>
      <w:sz w:val="20"/>
      <w:szCs w:val="20"/>
    </w:rPr>
  </w:style>
  <w:style w:type="character" w:customStyle="1" w:styleId="TestocommentoCarattere">
    <w:name w:val="Testo commento Carattere"/>
    <w:basedOn w:val="Carpredefinitoparagrafo"/>
    <w:link w:val="Testocommento"/>
    <w:rsid w:val="005B0BAA"/>
    <w:rPr>
      <w:lang w:val="fr-FR" w:eastAsia="fr-FR"/>
    </w:rPr>
  </w:style>
  <w:style w:type="paragraph" w:styleId="Soggettocommento">
    <w:name w:val="annotation subject"/>
    <w:basedOn w:val="Testocommento"/>
    <w:next w:val="Testocommento"/>
    <w:link w:val="SoggettocommentoCarattere"/>
    <w:rsid w:val="005B0BAA"/>
    <w:rPr>
      <w:b/>
      <w:bCs/>
    </w:rPr>
  </w:style>
  <w:style w:type="character" w:customStyle="1" w:styleId="SoggettocommentoCarattere">
    <w:name w:val="Soggetto commento Carattere"/>
    <w:basedOn w:val="TestocommentoCarattere"/>
    <w:link w:val="Soggettocommento"/>
    <w:rsid w:val="005B0BAA"/>
    <w:rPr>
      <w:b/>
      <w:bCs/>
      <w:lang w:val="fr-FR" w:eastAsia="fr-FR"/>
    </w:rPr>
  </w:style>
  <w:style w:type="paragraph" w:styleId="Testofumetto">
    <w:name w:val="Balloon Text"/>
    <w:basedOn w:val="Normale"/>
    <w:link w:val="TestofumettoCarattere"/>
    <w:rsid w:val="005B0BAA"/>
    <w:rPr>
      <w:rFonts w:ascii="Segoe UI" w:hAnsi="Segoe UI" w:cs="Segoe UI"/>
      <w:sz w:val="18"/>
      <w:szCs w:val="18"/>
    </w:rPr>
  </w:style>
  <w:style w:type="character" w:customStyle="1" w:styleId="TestofumettoCarattere">
    <w:name w:val="Testo fumetto Carattere"/>
    <w:basedOn w:val="Carpredefinitoparagrafo"/>
    <w:link w:val="Testofumetto"/>
    <w:rsid w:val="005B0BAA"/>
    <w:rPr>
      <w:rFonts w:ascii="Segoe UI" w:hAnsi="Segoe UI" w:cs="Segoe UI"/>
      <w:sz w:val="18"/>
      <w:szCs w:val="18"/>
      <w:lang w:val="fr-FR" w:eastAsia="fr-FR"/>
    </w:rPr>
  </w:style>
  <w:style w:type="paragraph" w:styleId="Revisione">
    <w:name w:val="Revision"/>
    <w:hidden/>
    <w:uiPriority w:val="99"/>
    <w:semiHidden/>
    <w:rsid w:val="00432E3E"/>
    <w:rPr>
      <w:sz w:val="24"/>
      <w:szCs w:val="24"/>
      <w:lang w:val="fr-FR" w:eastAsia="fr-FR"/>
    </w:rPr>
  </w:style>
  <w:style w:type="paragraph" w:styleId="Paragrafoelenco">
    <w:name w:val="List Paragraph"/>
    <w:basedOn w:val="Normale"/>
    <w:uiPriority w:val="34"/>
    <w:qFormat/>
    <w:rsid w:val="00151940"/>
    <w:pPr>
      <w:ind w:left="720"/>
      <w:contextualSpacing/>
    </w:pPr>
  </w:style>
  <w:style w:type="paragraph" w:customStyle="1" w:styleId="ECCBulletsLv1">
    <w:name w:val="ECC Bullets Lv1"/>
    <w:basedOn w:val="Normale"/>
    <w:qFormat/>
    <w:rsid w:val="00D2280E"/>
    <w:pPr>
      <w:numPr>
        <w:numId w:val="2"/>
      </w:numPr>
      <w:tabs>
        <w:tab w:val="left" w:pos="340"/>
      </w:tabs>
      <w:spacing w:before="60"/>
      <w:ind w:left="340" w:hanging="340"/>
      <w:jc w:val="both"/>
    </w:pPr>
    <w:rPr>
      <w:rFonts w:ascii="Arial" w:eastAsia="Calibri" w:hAnsi="Arial"/>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0B5A7-6EB5-418E-B96B-9BF0F3234F15}">
  <ds:schemaRef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 ds:uri="d4255d4f-b660-4ca3-ba49-4e7bf63d41a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E27EC35-7BEB-4AEA-944C-AD1BBFB8372F}">
  <ds:schemaRefs>
    <ds:schemaRef ds:uri="http://schemas.microsoft.com/sharepoint/v3/contenttype/forms"/>
  </ds:schemaRefs>
</ds:datastoreItem>
</file>

<file path=customXml/itemProps3.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146AA6-ABA9-4804-89B2-92EADB69C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1121</Words>
  <Characters>6069</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Template for the development of comments during public consultation on ECC deliverables</vt:lpstr>
      <vt:lpstr>Template for the development of comments during public consultation on ECC deliverables</vt:lpstr>
    </vt:vector>
  </TitlesOfParts>
  <Company>anfr</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Italy</cp:lastModifiedBy>
  <cp:revision>4</cp:revision>
  <dcterms:created xsi:type="dcterms:W3CDTF">2024-04-19T10:44:00Z</dcterms:created>
  <dcterms:modified xsi:type="dcterms:W3CDTF">2024-04-19T12:41:00Z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ies>
</file>